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5CE" w:rsidRDefault="00690070" w:rsidP="00690070">
      <w:pPr>
        <w:spacing w:after="0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Тематика рефератов к Теме 2</w:t>
      </w:r>
    </w:p>
    <w:p w:rsidR="00690070" w:rsidRDefault="00690070" w:rsidP="00690070">
      <w:pPr>
        <w:spacing w:after="0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p w:rsidR="00690070" w:rsidRPr="006D251B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D251B">
        <w:rPr>
          <w:rFonts w:ascii="Times New Roman" w:hAnsi="Times New Roman" w:cs="Times New Roman"/>
          <w:b/>
          <w:sz w:val="26"/>
          <w:szCs w:val="26"/>
        </w:rPr>
        <w:t>Блок 1: Профессия и эволюция роли бухгалтера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Трансформация профессии бухгалтера: от «счетного работника» к финансовому бизнес-партнеру.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Роль искусственного интеллекта и RPA (роботизации) в автоматизации рутинных операций бухгалтера.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Система непрерывного профессионального образования и аттестации бухгалтеров в РФ (роль ИПБ России).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 xml:space="preserve">Сравнительный анализ требований к главному бухгалтеру в РФ и странах ЕС (МСФО </w:t>
      </w:r>
      <w:proofErr w:type="spellStart"/>
      <w:r w:rsidRPr="00690070">
        <w:rPr>
          <w:rFonts w:ascii="Times New Roman" w:hAnsi="Times New Roman" w:cs="Times New Roman"/>
          <w:sz w:val="26"/>
          <w:szCs w:val="26"/>
        </w:rPr>
        <w:t>vs</w:t>
      </w:r>
      <w:proofErr w:type="spellEnd"/>
      <w:r w:rsidRPr="00690070">
        <w:rPr>
          <w:rFonts w:ascii="Times New Roman" w:hAnsi="Times New Roman" w:cs="Times New Roman"/>
          <w:sz w:val="26"/>
          <w:szCs w:val="26"/>
        </w:rPr>
        <w:t xml:space="preserve"> РСБУ).</w:t>
      </w:r>
      <w:bookmarkStart w:id="0" w:name="_GoBack"/>
      <w:bookmarkEnd w:id="0"/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Этика профессионального бухгалтера: анализ Кодекса этики ИПБ России и реальные кейсы конфликтов интересов.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Влияние геополитических факторов и санкций на работу бухгалтера в сфере ВЭД и валютного контроля.</w:t>
      </w:r>
    </w:p>
    <w:p w:rsidR="00690070" w:rsidRPr="006D251B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D251B">
        <w:rPr>
          <w:rFonts w:ascii="Times New Roman" w:hAnsi="Times New Roman" w:cs="Times New Roman"/>
          <w:b/>
          <w:sz w:val="26"/>
          <w:szCs w:val="26"/>
        </w:rPr>
        <w:t>Блок 2: Организационная структура и нормирование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7. Сравнительный анализ линейной, функциональной и комбинированной структур бухгалтерской службы: плюсы, минусы и сферы применения.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 xml:space="preserve">8. Централизация </w:t>
      </w:r>
      <w:proofErr w:type="spellStart"/>
      <w:r w:rsidRPr="00690070">
        <w:rPr>
          <w:rFonts w:ascii="Times New Roman" w:hAnsi="Times New Roman" w:cs="Times New Roman"/>
          <w:sz w:val="26"/>
          <w:szCs w:val="26"/>
        </w:rPr>
        <w:t>vs</w:t>
      </w:r>
      <w:proofErr w:type="spellEnd"/>
      <w:r w:rsidRPr="00690070">
        <w:rPr>
          <w:rFonts w:ascii="Times New Roman" w:hAnsi="Times New Roman" w:cs="Times New Roman"/>
          <w:sz w:val="26"/>
          <w:szCs w:val="26"/>
        </w:rPr>
        <w:t xml:space="preserve"> децентрализация бухгалтерского учета в холдинговых структурах: проблемы и пути решения.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9. Бухгалтерский аутсорсинг: экономическая целесообразность, риски и правовые аспекты передачи учета третьей стороне.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 xml:space="preserve">10. Современные подходы к нормированию труда и расчету оптимальной численности аппарата бухгалтерии в условиях </w:t>
      </w:r>
      <w:proofErr w:type="spellStart"/>
      <w:r w:rsidRPr="00690070">
        <w:rPr>
          <w:rFonts w:ascii="Times New Roman" w:hAnsi="Times New Roman" w:cs="Times New Roman"/>
          <w:sz w:val="26"/>
          <w:szCs w:val="26"/>
        </w:rPr>
        <w:t>цифровизации</w:t>
      </w:r>
      <w:proofErr w:type="spellEnd"/>
      <w:r w:rsidRPr="00690070">
        <w:rPr>
          <w:rFonts w:ascii="Times New Roman" w:hAnsi="Times New Roman" w:cs="Times New Roman"/>
          <w:sz w:val="26"/>
          <w:szCs w:val="26"/>
        </w:rPr>
        <w:t>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11. Соблюдение санитарно-гигиенических норм (СанПиН) при организации рабочих мест бухгалтеров: правовые и практические аспекты.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12. Роль внутреннего распорядка и графика документооборота в эффективности работы бухгалтерской службы.</w:t>
      </w:r>
    </w:p>
    <w:p w:rsidR="00690070" w:rsidRPr="006D251B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D251B">
        <w:rPr>
          <w:rFonts w:ascii="Times New Roman" w:hAnsi="Times New Roman" w:cs="Times New Roman"/>
          <w:b/>
          <w:sz w:val="26"/>
          <w:szCs w:val="26"/>
        </w:rPr>
        <w:t>Блок 3: Правовой статус и ответственность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13. Правовой статус главного бухгалтера по ТК РФ и ФЗ № 402-ФЗ: права, обязанности и гарантии.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14. Субсидиарная ответственность главного бухгалтера при банкротстве организации: анализ судебной практики 2020–2026 гг.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15. Уголовная ответственность должностных лиц за налоговые преступления (ст. 199, 199.1, 199.2 УК РФ): составы и профилактика.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16. Разграничение материальной ответственности главного бухгалтера и кассира: анализ Перечня Минтруда № 85.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17. Административная ответственность за нарушения в сфере бухгалтерского учета и отчетности (ст. 15.5, 15.11 КоАП РФ).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18. Правовые последствия исполнения главным бухгалтером незаконных письменных распоряжений руководителя организации.</w:t>
      </w:r>
    </w:p>
    <w:p w:rsidR="00690070" w:rsidRPr="006D251B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D251B">
        <w:rPr>
          <w:rFonts w:ascii="Times New Roman" w:hAnsi="Times New Roman" w:cs="Times New Roman"/>
          <w:b/>
          <w:sz w:val="26"/>
          <w:szCs w:val="26"/>
        </w:rPr>
        <w:t>Блок 4: Процедура приема-передачи дел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19. Организация и документальное оформление приема-передачи дел при смене главного бухгалтера: пошаговый алгоритм.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20. Роль инвентаризации как обязательного этапа при смене материально ответственных лиц и главного бухгалтера.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 xml:space="preserve">21. Передача цифровых активов (ЭП, </w:t>
      </w:r>
      <w:proofErr w:type="spellStart"/>
      <w:r w:rsidRPr="00690070">
        <w:rPr>
          <w:rFonts w:ascii="Times New Roman" w:hAnsi="Times New Roman" w:cs="Times New Roman"/>
          <w:sz w:val="26"/>
          <w:szCs w:val="26"/>
        </w:rPr>
        <w:t>токены</w:t>
      </w:r>
      <w:proofErr w:type="spellEnd"/>
      <w:r w:rsidRPr="00690070">
        <w:rPr>
          <w:rFonts w:ascii="Times New Roman" w:hAnsi="Times New Roman" w:cs="Times New Roman"/>
          <w:sz w:val="26"/>
          <w:szCs w:val="26"/>
        </w:rPr>
        <w:t>, доступы к 1С, ЛК ФНС/СФР): проблемы информационной безопасности и правового регулирования.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lastRenderedPageBreak/>
        <w:t>22. Ответственность прежнего и нового главного бухгалтера за ошибки, выявленные после приема-передачи дел.</w:t>
      </w:r>
    </w:p>
    <w:p w:rsidR="00690070" w:rsidRPr="006D251B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D251B">
        <w:rPr>
          <w:rFonts w:ascii="Times New Roman" w:hAnsi="Times New Roman" w:cs="Times New Roman"/>
          <w:b/>
          <w:sz w:val="26"/>
          <w:szCs w:val="26"/>
        </w:rPr>
        <w:t>Блок 5: Взаимодействие и управленческие функции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23. Взаимодействие бухгалтерской и юридической служб организации: минимизация налоговых и договорных рисков.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24. Роль главного бухгалтера в формировании и реализации учетной и налоговой политики организации.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25. Электронный документооборот (ЭДО) как инструмент повышения эффективности взаимодействия с контрагентами и госорганами.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26. Особенности взаимодействия бухгалтерии с Социальным фондом России (СФР) в условиях прямых выплат и ЭЛН.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 xml:space="preserve">27. Участие бухгалтерской службы в управленческом учете: бюджетирование, P&amp;L, </w:t>
      </w:r>
      <w:proofErr w:type="spellStart"/>
      <w:r w:rsidRPr="00690070">
        <w:rPr>
          <w:rFonts w:ascii="Times New Roman" w:hAnsi="Times New Roman" w:cs="Times New Roman"/>
          <w:sz w:val="26"/>
          <w:szCs w:val="26"/>
        </w:rPr>
        <w:t>CashFlow</w:t>
      </w:r>
      <w:proofErr w:type="spellEnd"/>
      <w:r w:rsidRPr="00690070">
        <w:rPr>
          <w:rFonts w:ascii="Times New Roman" w:hAnsi="Times New Roman" w:cs="Times New Roman"/>
          <w:sz w:val="26"/>
          <w:szCs w:val="26"/>
        </w:rPr>
        <w:t xml:space="preserve"> и анализ точек безубыточности.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28. Роль бухгалтерии в системе внутреннего контроля и противодействия мошенничеству (</w:t>
      </w:r>
      <w:proofErr w:type="spellStart"/>
      <w:r w:rsidRPr="00690070">
        <w:rPr>
          <w:rFonts w:ascii="Times New Roman" w:hAnsi="Times New Roman" w:cs="Times New Roman"/>
          <w:sz w:val="26"/>
          <w:szCs w:val="26"/>
        </w:rPr>
        <w:t>фроду</w:t>
      </w:r>
      <w:proofErr w:type="spellEnd"/>
      <w:r w:rsidRPr="00690070">
        <w:rPr>
          <w:rFonts w:ascii="Times New Roman" w:hAnsi="Times New Roman" w:cs="Times New Roman"/>
          <w:sz w:val="26"/>
          <w:szCs w:val="26"/>
        </w:rPr>
        <w:t>) в организации.</w:t>
      </w:r>
    </w:p>
    <w:p w:rsidR="00690070" w:rsidRPr="0069007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>29. Кадровое обеспечение бухгалтерии: мотивация, KPI и удержание квалифицированных специалистов в условиях дефицита кадров.</w:t>
      </w:r>
    </w:p>
    <w:p w:rsidR="00690070" w:rsidRPr="00851030" w:rsidRDefault="00690070" w:rsidP="0069007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90070">
        <w:rPr>
          <w:rFonts w:ascii="Times New Roman" w:hAnsi="Times New Roman" w:cs="Times New Roman"/>
          <w:sz w:val="26"/>
          <w:szCs w:val="26"/>
        </w:rPr>
        <w:t xml:space="preserve">30. Перспективы развития профессии бухгалтера до 2030 года: влияние </w:t>
      </w:r>
      <w:proofErr w:type="spellStart"/>
      <w:r w:rsidRPr="00690070">
        <w:rPr>
          <w:rFonts w:ascii="Times New Roman" w:hAnsi="Times New Roman" w:cs="Times New Roman"/>
          <w:sz w:val="26"/>
          <w:szCs w:val="26"/>
        </w:rPr>
        <w:t>блокчейна</w:t>
      </w:r>
      <w:proofErr w:type="spellEnd"/>
      <w:r w:rsidRPr="006900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90070">
        <w:rPr>
          <w:rFonts w:ascii="Times New Roman" w:hAnsi="Times New Roman" w:cs="Times New Roman"/>
          <w:sz w:val="26"/>
          <w:szCs w:val="26"/>
        </w:rPr>
        <w:t>Big</w:t>
      </w:r>
      <w:proofErr w:type="spellEnd"/>
      <w:r w:rsidRPr="006900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90070">
        <w:rPr>
          <w:rFonts w:ascii="Times New Roman" w:hAnsi="Times New Roman" w:cs="Times New Roman"/>
          <w:sz w:val="26"/>
          <w:szCs w:val="26"/>
        </w:rPr>
        <w:t>Data</w:t>
      </w:r>
      <w:proofErr w:type="spellEnd"/>
      <w:r w:rsidRPr="00690070">
        <w:rPr>
          <w:rFonts w:ascii="Times New Roman" w:hAnsi="Times New Roman" w:cs="Times New Roman"/>
          <w:sz w:val="26"/>
          <w:szCs w:val="26"/>
        </w:rPr>
        <w:t xml:space="preserve"> и изменения налогового администрирования (АСК НДС-3 и др.).</w:t>
      </w:r>
    </w:p>
    <w:sectPr w:rsidR="00690070" w:rsidRPr="00851030" w:rsidSect="00851030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0A75D6"/>
    <w:multiLevelType w:val="hybridMultilevel"/>
    <w:tmpl w:val="C59ED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5C"/>
    <w:rsid w:val="0022605C"/>
    <w:rsid w:val="00667A6A"/>
    <w:rsid w:val="00690070"/>
    <w:rsid w:val="006D251B"/>
    <w:rsid w:val="006D2F73"/>
    <w:rsid w:val="00851030"/>
    <w:rsid w:val="0091245A"/>
    <w:rsid w:val="00AA0E4B"/>
    <w:rsid w:val="00B94CA4"/>
    <w:rsid w:val="00C2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45725"/>
  <w15:chartTrackingRefBased/>
  <w15:docId w15:val="{1CD3F127-07BD-491A-AA6F-B09B2EFE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C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1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10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9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025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67079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4606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66225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52192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6400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649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74632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95327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2026-10-02T12:16:00Z</cp:lastPrinted>
  <dcterms:created xsi:type="dcterms:W3CDTF">2026-10-02T12:10:00Z</dcterms:created>
  <dcterms:modified xsi:type="dcterms:W3CDTF">2026-10-20T07:56:00Z</dcterms:modified>
</cp:coreProperties>
</file>