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0D" w:rsidRPr="0075110D" w:rsidRDefault="0075110D" w:rsidP="0075110D">
      <w:pPr>
        <w:pStyle w:val="a3"/>
        <w:spacing w:line="360" w:lineRule="auto"/>
        <w:jc w:val="center"/>
        <w:rPr>
          <w:sz w:val="28"/>
          <w:szCs w:val="28"/>
        </w:rPr>
      </w:pPr>
      <w:r w:rsidRPr="0075110D">
        <w:rPr>
          <w:sz w:val="28"/>
          <w:szCs w:val="28"/>
        </w:rPr>
        <w:t xml:space="preserve">МИНИСТЕРСТВО СЕЛЬСКОГО ХОЗЯЙСТВА </w:t>
      </w:r>
      <w:proofErr w:type="gramStart"/>
      <w:r w:rsidRPr="0075110D">
        <w:rPr>
          <w:sz w:val="28"/>
          <w:szCs w:val="28"/>
        </w:rPr>
        <w:t>РОССИЙСКОЙ</w:t>
      </w:r>
      <w:proofErr w:type="gramEnd"/>
      <w:r w:rsidRPr="0075110D">
        <w:rPr>
          <w:sz w:val="28"/>
          <w:szCs w:val="28"/>
        </w:rPr>
        <w:t xml:space="preserve"> ФЕДЕРАЦИИИ</w:t>
      </w:r>
    </w:p>
    <w:p w:rsidR="0075110D" w:rsidRPr="0075110D" w:rsidRDefault="0075110D" w:rsidP="0075110D">
      <w:pPr>
        <w:pStyle w:val="a3"/>
        <w:spacing w:line="360" w:lineRule="auto"/>
        <w:jc w:val="center"/>
        <w:rPr>
          <w:sz w:val="28"/>
          <w:szCs w:val="28"/>
        </w:rPr>
      </w:pPr>
      <w:r w:rsidRPr="0075110D">
        <w:rPr>
          <w:sz w:val="28"/>
          <w:szCs w:val="28"/>
        </w:rPr>
        <w:t>ФГБОУ ВО «КАЗАНСКИЙ ГОСУДАРСТВЕННЫЙ АГРАРНЫЙ УНИВЕРСИТЕТ»</w:t>
      </w:r>
    </w:p>
    <w:p w:rsidR="0075110D" w:rsidRPr="0075110D" w:rsidRDefault="0075110D" w:rsidP="0075110D">
      <w:pPr>
        <w:pStyle w:val="a3"/>
        <w:spacing w:line="360" w:lineRule="auto"/>
        <w:jc w:val="center"/>
        <w:rPr>
          <w:sz w:val="28"/>
          <w:szCs w:val="28"/>
        </w:rPr>
      </w:pPr>
      <w:r w:rsidRPr="0075110D">
        <w:rPr>
          <w:sz w:val="28"/>
          <w:szCs w:val="28"/>
        </w:rPr>
        <w:t>ИНСТИТУТ ЭКОНОМИКИ</w:t>
      </w:r>
    </w:p>
    <w:p w:rsidR="0075110D" w:rsidRPr="0075110D" w:rsidRDefault="0075110D" w:rsidP="0075110D">
      <w:pPr>
        <w:pStyle w:val="a3"/>
        <w:spacing w:line="360" w:lineRule="auto"/>
        <w:jc w:val="right"/>
        <w:rPr>
          <w:sz w:val="28"/>
          <w:szCs w:val="28"/>
        </w:rPr>
      </w:pPr>
      <w:r w:rsidRPr="0075110D">
        <w:rPr>
          <w:sz w:val="28"/>
          <w:szCs w:val="28"/>
        </w:rPr>
        <w:t>Кафедра управления СХП</w:t>
      </w:r>
    </w:p>
    <w:p w:rsidR="0075110D" w:rsidRPr="0075110D" w:rsidRDefault="0075110D" w:rsidP="0075110D">
      <w:pPr>
        <w:pStyle w:val="a3"/>
        <w:spacing w:line="360" w:lineRule="auto"/>
        <w:jc w:val="both"/>
        <w:rPr>
          <w:sz w:val="28"/>
          <w:szCs w:val="28"/>
        </w:rPr>
      </w:pPr>
    </w:p>
    <w:p w:rsidR="0075110D" w:rsidRPr="0075110D" w:rsidRDefault="0075110D" w:rsidP="0075110D">
      <w:pPr>
        <w:pStyle w:val="a3"/>
        <w:spacing w:line="360" w:lineRule="auto"/>
        <w:jc w:val="center"/>
        <w:rPr>
          <w:sz w:val="28"/>
          <w:szCs w:val="28"/>
        </w:rPr>
      </w:pPr>
    </w:p>
    <w:p w:rsidR="0075110D" w:rsidRPr="0075110D" w:rsidRDefault="0075110D" w:rsidP="0075110D">
      <w:pPr>
        <w:pStyle w:val="a3"/>
        <w:spacing w:line="360" w:lineRule="auto"/>
        <w:jc w:val="center"/>
        <w:rPr>
          <w:sz w:val="28"/>
          <w:szCs w:val="28"/>
        </w:rPr>
      </w:pPr>
      <w:r w:rsidRPr="0075110D">
        <w:rPr>
          <w:sz w:val="28"/>
          <w:szCs w:val="28"/>
        </w:rPr>
        <w:t>КОНТРОЛЬНАЯ РАБОТА</w:t>
      </w:r>
    </w:p>
    <w:p w:rsidR="0075110D" w:rsidRPr="0075110D" w:rsidRDefault="0075110D" w:rsidP="0075110D">
      <w:pPr>
        <w:pStyle w:val="a3"/>
        <w:spacing w:line="360" w:lineRule="auto"/>
        <w:jc w:val="center"/>
        <w:rPr>
          <w:sz w:val="28"/>
          <w:szCs w:val="28"/>
        </w:rPr>
      </w:pPr>
      <w:r w:rsidRPr="0075110D">
        <w:rPr>
          <w:sz w:val="28"/>
          <w:szCs w:val="28"/>
        </w:rPr>
        <w:t>по дисциплине «Стратегический анализ и планирование»</w:t>
      </w:r>
    </w:p>
    <w:p w:rsidR="0075110D" w:rsidRPr="0075110D" w:rsidRDefault="0075110D" w:rsidP="0075110D">
      <w:pPr>
        <w:pStyle w:val="a3"/>
        <w:spacing w:line="360" w:lineRule="auto"/>
        <w:jc w:val="both"/>
        <w:rPr>
          <w:sz w:val="28"/>
          <w:szCs w:val="28"/>
        </w:rPr>
      </w:pPr>
    </w:p>
    <w:p w:rsidR="0075110D" w:rsidRPr="0075110D" w:rsidRDefault="0075110D" w:rsidP="0075110D">
      <w:pPr>
        <w:pStyle w:val="a3"/>
        <w:spacing w:line="360" w:lineRule="auto"/>
        <w:jc w:val="both"/>
        <w:rPr>
          <w:sz w:val="28"/>
          <w:szCs w:val="28"/>
        </w:rPr>
      </w:pPr>
    </w:p>
    <w:p w:rsidR="0075110D" w:rsidRPr="0075110D" w:rsidRDefault="0075110D" w:rsidP="0075110D">
      <w:pPr>
        <w:pStyle w:val="a3"/>
        <w:spacing w:line="360" w:lineRule="auto"/>
        <w:jc w:val="right"/>
        <w:rPr>
          <w:sz w:val="28"/>
          <w:szCs w:val="28"/>
        </w:rPr>
      </w:pPr>
      <w:r w:rsidRPr="0075110D">
        <w:rPr>
          <w:sz w:val="28"/>
          <w:szCs w:val="28"/>
        </w:rPr>
        <w:t>Выполнил: студентка 3 курса</w:t>
      </w:r>
    </w:p>
    <w:p w:rsidR="0075110D" w:rsidRPr="0075110D" w:rsidRDefault="0075110D" w:rsidP="0075110D">
      <w:pPr>
        <w:pStyle w:val="a3"/>
        <w:spacing w:line="360" w:lineRule="auto"/>
        <w:jc w:val="right"/>
        <w:rPr>
          <w:sz w:val="28"/>
          <w:szCs w:val="28"/>
        </w:rPr>
      </w:pPr>
      <w:r w:rsidRPr="0075110D">
        <w:rPr>
          <w:sz w:val="28"/>
          <w:szCs w:val="28"/>
        </w:rPr>
        <w:t>Группы Б372-05</w:t>
      </w:r>
    </w:p>
    <w:p w:rsidR="0075110D" w:rsidRPr="0075110D" w:rsidRDefault="0075110D" w:rsidP="0075110D">
      <w:pPr>
        <w:pStyle w:val="a3"/>
        <w:spacing w:line="360" w:lineRule="auto"/>
        <w:jc w:val="right"/>
        <w:rPr>
          <w:sz w:val="28"/>
          <w:szCs w:val="28"/>
        </w:rPr>
      </w:pPr>
      <w:r w:rsidRPr="0075110D">
        <w:rPr>
          <w:sz w:val="28"/>
          <w:szCs w:val="28"/>
        </w:rPr>
        <w:t>№ зачетки Э17024К</w:t>
      </w:r>
    </w:p>
    <w:p w:rsidR="0075110D" w:rsidRPr="0075110D" w:rsidRDefault="0075110D" w:rsidP="0075110D">
      <w:pPr>
        <w:pStyle w:val="a3"/>
        <w:spacing w:line="360" w:lineRule="auto"/>
        <w:jc w:val="right"/>
        <w:rPr>
          <w:sz w:val="28"/>
          <w:szCs w:val="28"/>
        </w:rPr>
      </w:pPr>
      <w:r w:rsidRPr="0075110D">
        <w:rPr>
          <w:sz w:val="28"/>
          <w:szCs w:val="28"/>
        </w:rPr>
        <w:t xml:space="preserve">Харисова А.А. </w:t>
      </w:r>
    </w:p>
    <w:p w:rsidR="0075110D" w:rsidRPr="0075110D" w:rsidRDefault="0075110D" w:rsidP="0075110D">
      <w:pPr>
        <w:pStyle w:val="a3"/>
        <w:spacing w:line="360" w:lineRule="auto"/>
        <w:jc w:val="right"/>
        <w:rPr>
          <w:sz w:val="28"/>
          <w:szCs w:val="28"/>
        </w:rPr>
      </w:pPr>
      <w:r w:rsidRPr="0075110D">
        <w:rPr>
          <w:sz w:val="28"/>
          <w:szCs w:val="28"/>
        </w:rPr>
        <w:t xml:space="preserve">Проверил: доцент  </w:t>
      </w:r>
      <w:proofErr w:type="spellStart"/>
      <w:r w:rsidRPr="0075110D">
        <w:rPr>
          <w:sz w:val="28"/>
          <w:szCs w:val="28"/>
        </w:rPr>
        <w:t>Асадуллин</w:t>
      </w:r>
      <w:proofErr w:type="spellEnd"/>
      <w:r w:rsidRPr="0075110D">
        <w:rPr>
          <w:sz w:val="28"/>
          <w:szCs w:val="28"/>
        </w:rPr>
        <w:t xml:space="preserve"> Н.М.</w:t>
      </w:r>
    </w:p>
    <w:p w:rsidR="0075110D" w:rsidRPr="0075110D" w:rsidRDefault="0075110D" w:rsidP="0075110D">
      <w:pPr>
        <w:pStyle w:val="a3"/>
        <w:spacing w:line="360" w:lineRule="auto"/>
        <w:jc w:val="both"/>
        <w:rPr>
          <w:sz w:val="28"/>
          <w:szCs w:val="28"/>
        </w:rPr>
      </w:pPr>
    </w:p>
    <w:p w:rsidR="0075110D" w:rsidRPr="0075110D" w:rsidRDefault="0075110D" w:rsidP="0075110D">
      <w:pPr>
        <w:pStyle w:val="a3"/>
        <w:spacing w:line="360" w:lineRule="auto"/>
        <w:jc w:val="center"/>
        <w:rPr>
          <w:sz w:val="28"/>
          <w:szCs w:val="28"/>
        </w:rPr>
      </w:pPr>
    </w:p>
    <w:p w:rsidR="0075110D" w:rsidRPr="0075110D" w:rsidRDefault="0075110D" w:rsidP="0075110D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Казань – 2020</w:t>
      </w:r>
    </w:p>
    <w:p w:rsidR="0075110D" w:rsidRPr="0075110D" w:rsidRDefault="0075110D" w:rsidP="0075110D">
      <w:pPr>
        <w:spacing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МЕТОДЫ СТРАТЕГИЧЕСКОГО АНАЛИЗА</w:t>
      </w:r>
    </w:p>
    <w:p w:rsidR="0075110D" w:rsidRPr="0075110D" w:rsidRDefault="0075110D" w:rsidP="0075110D">
      <w:pPr>
        <w:spacing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0D" w:rsidRPr="0075110D" w:rsidRDefault="0075110D" w:rsidP="0075110D">
      <w:pPr>
        <w:spacing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75110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Стратегический анализ</w:t>
        </w:r>
      </w:hyperlink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средство преобразования базы данных, полученных в результате анализа среды, в стратегический план организации. К инструментам стратегического анализа относятся формальные модели, количественные методы, анализ, учитывающий специфику организации.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анализ может быть разделен на два основных этапа: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сравнение намеченных фирмой ориентиров и реальных возможностей, предлагаемых средой, анализ разрыва между ними;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возможных вариантов будущего фирмы, определение стратегических альтернатив.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стратегические альтернативы определены, фирма ступает к завершающему этапу разработки стратегии - выбору определенного варианта стратегии и подготовке стратегического плана.</w:t>
      </w:r>
    </w:p>
    <w:p w:rsidR="0075110D" w:rsidRPr="0075110D" w:rsidRDefault="0075110D" w:rsidP="0075110D">
      <w:pPr>
        <w:spacing w:before="136" w:after="68" w:line="360" w:lineRule="auto"/>
        <w:ind w:left="272" w:right="13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разрыва</w:t>
      </w:r>
    </w:p>
    <w:p w:rsidR="0075110D" w:rsidRPr="0075110D" w:rsidRDefault="0075110D" w:rsidP="0075110D">
      <w:pPr>
        <w:spacing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разрыва - простой, но эффективный метод </w:t>
      </w:r>
      <w:hyperlink r:id="rId6" w:history="1">
        <w:r w:rsidRPr="0075110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стратегического менеджмента</w:t>
        </w:r>
      </w:hyperlink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анализа. Его цель - определить, существует ли разрыв между целями фирмы и ее возможностями и, если да, установить, как "заполнить" его.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анализа разрыва: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основного интереса фирмы, выраженного в терминах стратегического планирования (например, в увеличении числа продаж);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выяснение реальных возможностей фирмы с точки зрения текущего состояния среды и предполагаемого будущего состояния (через 3, 5 лет);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конкретных показателей стратегического плана, соответствующих основному интересу фирмы;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установление разницы между показателями стратегического плана и возможностями, диктуемыми реальным положением фирмы;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разработка специальных программ и способов 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заполнения разрыва.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способ применения анализа разрыва - это определения разницы между наиболее высокими ожиданиями и самыми скромными прогнозами. Например, если высшее руководство рассчитывает на реальную ставку оборота на вложенный капитал в 20%,но анализ показывает, что наиболее реалистичной величиной будет 15%, требуются обсуждение и принятие мер по заполнению разрыва 5%.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можно произвести несколькими способами, например: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 счет роста производительности и 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желаемых 20%;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 счет отказа от более 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амбициозных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в пользу 15%;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методы стратегического анализа обычно применяются для определения стратегических альтернатив, возможных вариантов стратегического плана.</w:t>
      </w:r>
    </w:p>
    <w:p w:rsidR="0075110D" w:rsidRPr="0075110D" w:rsidRDefault="0075110D" w:rsidP="0075110D">
      <w:pPr>
        <w:spacing w:before="136" w:after="68" w:line="360" w:lineRule="auto"/>
        <w:ind w:left="272" w:right="13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динамики издержек и кривая опыта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классических моделей стратегий разработана в 1926 году. Она связывает определение стратегии с достижением преимущества в издержках.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затрат при увеличении объема производства обусловлено комбинацией следующих факторов: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преимущества в технологии, возникающие с расширением производства;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на опыте наиболее эффективным способом организации производства;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 экономии на масштабе.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кривой опыта основным направлением стратегии фирмы должно стать завоевание наибольшей доли рынка, поскольку именно у крупнейшего из конкурентов появляются возможности достижения самых низких единичных издержек и, следовательно, самых высоких прибылей.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кривой опыта возможно в отраслях материального производства.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достижение лидерства в издержках необязательно связано с увеличением масштабов производства. Нынешнее высокотехнологичное оборудование рассчитано не только на крупные производства, но и на небольшие. Сегодня даже маленькая фирма может использовать компьютеры, модульное оборудование, которые обеспечивают высокую производительность и возможности перестройки для решения различных специфических задач. Главным недостатком модели являются учет только одной из внутренних проблем организации и невнимание к внешней среде (в первую очередь к потребностям покупателей).</w:t>
      </w:r>
    </w:p>
    <w:p w:rsidR="0075110D" w:rsidRPr="0075110D" w:rsidRDefault="0075110D" w:rsidP="0075110D">
      <w:pPr>
        <w:spacing w:before="136" w:after="68" w:line="360" w:lineRule="auto"/>
        <w:ind w:left="272" w:right="13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динамики рынка, модель жизненного цикла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анализа динамики рынка данного продукта лежит известная модель жизненного цикла товара, которая является аналогией жизненного цикла биологического существа.</w:t>
      </w:r>
    </w:p>
    <w:p w:rsidR="0075110D" w:rsidRPr="0075110D" w:rsidRDefault="0075110D" w:rsidP="007511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0:00/ 0:00</w:t>
      </w:r>
    </w:p>
    <w:p w:rsidR="0075110D" w:rsidRPr="0075110D" w:rsidRDefault="0075110D" w:rsidP="007511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text</w:t>
      </w:r>
      <w:proofErr w:type="spellEnd"/>
    </w:p>
    <w:p w:rsidR="0075110D" w:rsidRPr="0075110D" w:rsidRDefault="0075110D" w:rsidP="007511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Р 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ΜРЄР»Р°РЈР°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товара на рынке разделяется на несколько основных этапов, каждому из которых соответствует свой уровень сбыта и другие маркетинговые характеристики:</w:t>
      </w:r>
    </w:p>
    <w:p w:rsidR="0075110D" w:rsidRPr="0075110D" w:rsidRDefault="0075110D" w:rsidP="0075110D">
      <w:pPr>
        <w:numPr>
          <w:ilvl w:val="0"/>
          <w:numId w:val="1"/>
        </w:numPr>
        <w:spacing w:before="68" w:after="0" w:line="360" w:lineRule="auto"/>
        <w:ind w:left="924" w:right="20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и внедрение на рынок - небольшой сбыт и стратегия, ориентированная на рост;</w:t>
      </w:r>
    </w:p>
    <w:p w:rsidR="0075110D" w:rsidRPr="0075110D" w:rsidRDefault="0075110D" w:rsidP="0075110D">
      <w:pPr>
        <w:numPr>
          <w:ilvl w:val="0"/>
          <w:numId w:val="1"/>
        </w:numPr>
        <w:spacing w:before="68" w:after="0" w:line="360" w:lineRule="auto"/>
        <w:ind w:left="924" w:right="20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стадия роста - существенное увеличение сбыта и стратегия быстрого роста;</w:t>
      </w:r>
    </w:p>
    <w:p w:rsidR="0075110D" w:rsidRPr="0075110D" w:rsidRDefault="0075110D" w:rsidP="0075110D">
      <w:pPr>
        <w:numPr>
          <w:ilvl w:val="0"/>
          <w:numId w:val="1"/>
        </w:numPr>
        <w:spacing w:before="68" w:after="0" w:line="360" w:lineRule="auto"/>
        <w:ind w:left="924" w:right="20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зрелости - устойчивый сбыт и стратегия, ориентированная на стабильность;</w:t>
      </w:r>
    </w:p>
    <w:p w:rsidR="0075110D" w:rsidRPr="0075110D" w:rsidRDefault="0075110D" w:rsidP="0075110D">
      <w:pPr>
        <w:numPr>
          <w:ilvl w:val="0"/>
          <w:numId w:val="1"/>
        </w:numPr>
        <w:spacing w:before="68" w:after="0" w:line="360" w:lineRule="auto"/>
        <w:ind w:left="924" w:right="20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насыщения рынка и упадка - снижение сбыта и стратегия сокращения.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модели жизненного цикла - правильно определить стратегию бизнеса для каждого этапа жизнедеятельности товара на рынке. Существует большое количество модификаций жизненных циклов в зависимости от типов товаров. Тем не 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слишком тесно привязывать стратегию к модели жизненного цикла.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"кривой опыта" и "жизненного цикла" являются наиболее простыми методами стратегического анализа, поскольку связывают разработку стратегии лишь с одним из факторов деятельности фирмы. Описанные далее методы имеют 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комплексный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идут по пути увязки различных компонентов внутренней и внешней среды организации.</w:t>
      </w:r>
    </w:p>
    <w:p w:rsidR="0075110D" w:rsidRPr="0075110D" w:rsidRDefault="0075110D" w:rsidP="0075110D">
      <w:pPr>
        <w:spacing w:before="136" w:after="68" w:line="360" w:lineRule="auto"/>
        <w:ind w:left="272" w:right="13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"продукт - рынок"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Предложена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А.Дж. </w:t>
      </w:r>
      <w:proofErr w:type="spell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Стейнером</w:t>
      </w:r>
      <w:proofErr w:type="spell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1975 г. Представляет собой матрицу, включающую классификацию рынков и классификацию продуктов на существующие, новые, но связанные с существующими, и совершенно новые продукты.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22970" cy="3743960"/>
            <wp:effectExtent l="19050" t="0" r="0" b="0"/>
            <wp:docPr id="1" name="Рисунок 1" descr="Матрица БК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рица БК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970" cy="374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Матрица "рынок-продукт"</w:t>
      </w:r>
    </w:p>
    <w:p w:rsidR="0075110D" w:rsidRPr="0075110D" w:rsidRDefault="0075110D" w:rsidP="007511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Матрица показывает уровни риска и соответственно степень вероятности успеха при различных сочетаниях "рынок-продукт". Модель используется 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для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определения вероятности успешной деятельности при выборе того или иного вида бизнеса;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выбора между различными видами бизнеса, в том числе при определении соотношения инвестиций для разных деловых единиц, то есть при формировании портфеля ценных бумаг фирмы.</w:t>
      </w:r>
    </w:p>
    <w:p w:rsidR="0075110D" w:rsidRPr="0075110D" w:rsidRDefault="0075110D" w:rsidP="0075110D">
      <w:pPr>
        <w:spacing w:before="136" w:after="68" w:line="360" w:lineRule="auto"/>
        <w:ind w:left="272" w:right="13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Портфельные модели анализа стратегии</w:t>
      </w:r>
    </w:p>
    <w:p w:rsidR="0075110D" w:rsidRPr="0075110D" w:rsidRDefault="0075110D" w:rsidP="0075110D">
      <w:pPr>
        <w:spacing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Портфельные модели определяют настоящее и будущее положение бизнеса с точки зрения привлекательности рынка и способности бизнеса конкурировать внутри него. Первоначальной, классической портфельной моделью является </w:t>
      </w:r>
      <w:hyperlink r:id="rId8" w:history="1">
        <w:r w:rsidRPr="0075110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матрица БКГ</w:t>
        </w:r>
      </w:hyperlink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(Бостонской консультационной группы).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указывает на четыре основные позиции бизнеса: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высококонкурентный</w:t>
      </w:r>
      <w:proofErr w:type="spell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на быстрорастущих рынках - идеальное положение "звезда";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высококонкурентный</w:t>
      </w:r>
      <w:proofErr w:type="spell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на зрелых, насыщенных, подверженных застою рынках (приносящие устойчивые прибыли "дойные коровы", или "денежные мешки") - хороший источник наличности для фирмы;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имеющие хороших конкурентных позиций, но действующие на перспективных рынках "знаки вопроса", чье будущее неопределенно;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сочетание слабых конкурентных позиций с рынками, находящимися в состоянии застоя, - "собаки" - отверженные мира бизнеса.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БКГ используется: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определения взаимосвязанных заключений о позиции деловой единицы (бизнеса), входящей в состав организации, и ее стратегических перспективах;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помощи матрицы БКГ фирма формирует состав своего портфеля (то есть определяет сочетания вложений капитала в различные отрасли, различные деловые единицы).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матрицы БКГ могут быть предложены варианты стратегий: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 увеличение доли рынка - превращение "знака вопроса" в "звезду" (агрессивные "знаки вопроса" иногда называют "дикими кошками").</w:t>
      </w:r>
      <w:proofErr w:type="gramEnd"/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Сохранение доли рынка - стратегия для "дойных коров", доходы которых важны для растущих видов бизнеса и финансовых инноваций.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3. "Сбор урожая", то есть получение краткосрочной доли прибыли в максимально возможных размерах, даже за счет сокращения доли рынка - стратегия для слабых "коров", лишенных будущего, неудачливых "знаков вопроса" и "собак".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Ликвидация бизнеса или отказ от него и использование полученных вследствие этого сре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др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отраслях - стратегия для "собак" и "знаков вопроса", не имеющих больше возможностей инвестировать для улучшения своих позиций.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БКГ имеет следующие преимущества и недостатки: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модель используется для исследования взаимосвязи между деловыми единицами, входящими в организацию, а также их долгосрочных целей;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модель может быть основой для анализа разных стадий развития деловой единицы (бизнеса);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собой простой, доступный для понимания подход к организации делового портфеля организации (портфеля ценных бумаг).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всегда правильно оценивает возможности бизнеса. Для единицы, определенной как "собака", может порекомендовать уход с рынка, в то время как внешние и внутренние изменения в состоянии изменить позицию бизнеса. Так, мелкое фермерское хозяйство, поставляющее овощную продукцию, в 70-е годы могло быть оценено как "собака", но уже к 90-м годам ухудшение экологической обстановки и особое отношение к "чистым" продуктам создали новые перспективы для этого бизнеса;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чрезмерно сосредоточена на потоках наличности, в то время как для организации не менее важным показателем является эффективность инвестиций. </w:t>
      </w:r>
      <w:proofErr w:type="gram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Нацелена</w:t>
      </w:r>
      <w:proofErr w:type="gram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суперрост</w:t>
      </w:r>
      <w:proofErr w:type="spell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оставляет без внимания возможности оздоровления бизнеса, применение лучших методов управления.</w:t>
      </w:r>
    </w:p>
    <w:p w:rsidR="0075110D" w:rsidRPr="0075110D" w:rsidRDefault="0075110D" w:rsidP="0075110D">
      <w:pPr>
        <w:spacing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сложным вариантом портфельной модели является многофакторная </w:t>
      </w:r>
      <w:hyperlink r:id="rId9" w:history="1">
        <w:r w:rsidRPr="0075110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матрица </w:t>
        </w:r>
        <w:proofErr w:type="spellStart"/>
        <w:r w:rsidRPr="0075110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Маккинзи</w:t>
        </w:r>
        <w:proofErr w:type="spellEnd"/>
      </w:hyperlink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компании, разрабатывающей ее по заказу "</w:t>
      </w:r>
      <w:proofErr w:type="spellStart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Дженерал</w:t>
      </w:r>
      <w:proofErr w:type="spellEnd"/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Электрик".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многопрофильной портфельной модели: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ее преимуществом по сравнению с простой портфельной моделью является учет наибольшего количества значимых факторов внутренней и внешней среды фирмы;</w:t>
      </w:r>
    </w:p>
    <w:p w:rsidR="0075110D" w:rsidRPr="0075110D" w:rsidRDefault="0075110D" w:rsidP="0075110D">
      <w:pPr>
        <w:spacing w:before="68" w:after="0" w:line="360" w:lineRule="auto"/>
        <w:ind w:left="136" w:right="136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применении данной модели существуют ограничения, к которым можно отнести отсутствие конкретных рекомендаций по поведению на том или другом рынке, а также возможность субъективной, искаженной оценки фирмой своей позиции.</w:t>
      </w:r>
    </w:p>
    <w:p w:rsidR="002D5EC6" w:rsidRPr="0075110D" w:rsidRDefault="002D5EC6" w:rsidP="00751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5EC6" w:rsidRPr="0075110D" w:rsidSect="002D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40316"/>
    <w:multiLevelType w:val="multilevel"/>
    <w:tmpl w:val="38F8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10D"/>
    <w:rsid w:val="0000317A"/>
    <w:rsid w:val="000221A4"/>
    <w:rsid w:val="00025828"/>
    <w:rsid w:val="000459F8"/>
    <w:rsid w:val="00057642"/>
    <w:rsid w:val="00057F80"/>
    <w:rsid w:val="00060BD8"/>
    <w:rsid w:val="0006396C"/>
    <w:rsid w:val="000755BE"/>
    <w:rsid w:val="000875FA"/>
    <w:rsid w:val="000A3B4D"/>
    <w:rsid w:val="000B395E"/>
    <w:rsid w:val="000B52DB"/>
    <w:rsid w:val="000C464D"/>
    <w:rsid w:val="000D6C4F"/>
    <w:rsid w:val="000F64DB"/>
    <w:rsid w:val="00104121"/>
    <w:rsid w:val="00116199"/>
    <w:rsid w:val="001401F2"/>
    <w:rsid w:val="00177B4E"/>
    <w:rsid w:val="001B1249"/>
    <w:rsid w:val="001B3977"/>
    <w:rsid w:val="001D175A"/>
    <w:rsid w:val="00210B84"/>
    <w:rsid w:val="00261CD2"/>
    <w:rsid w:val="002A49E3"/>
    <w:rsid w:val="002B55A9"/>
    <w:rsid w:val="002C452A"/>
    <w:rsid w:val="002C5464"/>
    <w:rsid w:val="002C64E5"/>
    <w:rsid w:val="002C6FA3"/>
    <w:rsid w:val="002D39BF"/>
    <w:rsid w:val="002D5436"/>
    <w:rsid w:val="002D5EC6"/>
    <w:rsid w:val="002E7368"/>
    <w:rsid w:val="002F39C5"/>
    <w:rsid w:val="00321A89"/>
    <w:rsid w:val="003339B7"/>
    <w:rsid w:val="00347424"/>
    <w:rsid w:val="0035712D"/>
    <w:rsid w:val="00381C47"/>
    <w:rsid w:val="00394355"/>
    <w:rsid w:val="003A25A3"/>
    <w:rsid w:val="003C1D3A"/>
    <w:rsid w:val="003C35B9"/>
    <w:rsid w:val="003C46B7"/>
    <w:rsid w:val="003D5B5B"/>
    <w:rsid w:val="003D7D48"/>
    <w:rsid w:val="003D7FF4"/>
    <w:rsid w:val="0041362A"/>
    <w:rsid w:val="004154E2"/>
    <w:rsid w:val="004207A3"/>
    <w:rsid w:val="0042138D"/>
    <w:rsid w:val="00442EA2"/>
    <w:rsid w:val="00466319"/>
    <w:rsid w:val="004863AE"/>
    <w:rsid w:val="004A008B"/>
    <w:rsid w:val="004A2AD1"/>
    <w:rsid w:val="004B098F"/>
    <w:rsid w:val="004B6FDA"/>
    <w:rsid w:val="004D6FFE"/>
    <w:rsid w:val="004E4D18"/>
    <w:rsid w:val="004F6366"/>
    <w:rsid w:val="004F6E91"/>
    <w:rsid w:val="00552D85"/>
    <w:rsid w:val="00561BA5"/>
    <w:rsid w:val="00563939"/>
    <w:rsid w:val="005668E7"/>
    <w:rsid w:val="005A43C0"/>
    <w:rsid w:val="005B5C3B"/>
    <w:rsid w:val="005B6118"/>
    <w:rsid w:val="005E0DF6"/>
    <w:rsid w:val="00605F94"/>
    <w:rsid w:val="00606AEB"/>
    <w:rsid w:val="006224AD"/>
    <w:rsid w:val="00624DB0"/>
    <w:rsid w:val="0063349C"/>
    <w:rsid w:val="006545CF"/>
    <w:rsid w:val="00663078"/>
    <w:rsid w:val="006645EE"/>
    <w:rsid w:val="006671AA"/>
    <w:rsid w:val="006A5CCE"/>
    <w:rsid w:val="006B0C37"/>
    <w:rsid w:val="006B0EEB"/>
    <w:rsid w:val="006B4BCA"/>
    <w:rsid w:val="006B752C"/>
    <w:rsid w:val="006C2457"/>
    <w:rsid w:val="006C2B07"/>
    <w:rsid w:val="006D0053"/>
    <w:rsid w:val="006F47D7"/>
    <w:rsid w:val="006F6DC2"/>
    <w:rsid w:val="007174F1"/>
    <w:rsid w:val="0072747C"/>
    <w:rsid w:val="00744CF3"/>
    <w:rsid w:val="007468FA"/>
    <w:rsid w:val="0075110D"/>
    <w:rsid w:val="007632CE"/>
    <w:rsid w:val="00766A1E"/>
    <w:rsid w:val="00766C70"/>
    <w:rsid w:val="0077047A"/>
    <w:rsid w:val="007A123F"/>
    <w:rsid w:val="007A1DE4"/>
    <w:rsid w:val="007A6F91"/>
    <w:rsid w:val="007B4882"/>
    <w:rsid w:val="007B7DF6"/>
    <w:rsid w:val="007C49FD"/>
    <w:rsid w:val="007E6669"/>
    <w:rsid w:val="007E7BEB"/>
    <w:rsid w:val="007F69B5"/>
    <w:rsid w:val="00802A67"/>
    <w:rsid w:val="00825AED"/>
    <w:rsid w:val="008440D3"/>
    <w:rsid w:val="00861C9B"/>
    <w:rsid w:val="00871555"/>
    <w:rsid w:val="00884988"/>
    <w:rsid w:val="008917ED"/>
    <w:rsid w:val="00897C40"/>
    <w:rsid w:val="008A36E1"/>
    <w:rsid w:val="008B0056"/>
    <w:rsid w:val="008C7290"/>
    <w:rsid w:val="008C7FE7"/>
    <w:rsid w:val="008D1B84"/>
    <w:rsid w:val="0097181D"/>
    <w:rsid w:val="00986C50"/>
    <w:rsid w:val="009C0917"/>
    <w:rsid w:val="009C7771"/>
    <w:rsid w:val="009D2BCA"/>
    <w:rsid w:val="00A1399C"/>
    <w:rsid w:val="00A30409"/>
    <w:rsid w:val="00A318EA"/>
    <w:rsid w:val="00A521AE"/>
    <w:rsid w:val="00A5259F"/>
    <w:rsid w:val="00A73D91"/>
    <w:rsid w:val="00A779BA"/>
    <w:rsid w:val="00AA068A"/>
    <w:rsid w:val="00AB6E9D"/>
    <w:rsid w:val="00AD5CA9"/>
    <w:rsid w:val="00AE2A59"/>
    <w:rsid w:val="00AE6897"/>
    <w:rsid w:val="00AF54E5"/>
    <w:rsid w:val="00B1140C"/>
    <w:rsid w:val="00B228E4"/>
    <w:rsid w:val="00B24C73"/>
    <w:rsid w:val="00B41F79"/>
    <w:rsid w:val="00B56D33"/>
    <w:rsid w:val="00B636B0"/>
    <w:rsid w:val="00B7097F"/>
    <w:rsid w:val="00B72C1B"/>
    <w:rsid w:val="00B85609"/>
    <w:rsid w:val="00B86183"/>
    <w:rsid w:val="00BC0518"/>
    <w:rsid w:val="00C235C2"/>
    <w:rsid w:val="00C2435B"/>
    <w:rsid w:val="00C24F08"/>
    <w:rsid w:val="00C645B8"/>
    <w:rsid w:val="00C669AF"/>
    <w:rsid w:val="00C800EB"/>
    <w:rsid w:val="00C8594D"/>
    <w:rsid w:val="00C861D9"/>
    <w:rsid w:val="00CA00BD"/>
    <w:rsid w:val="00CB0E4E"/>
    <w:rsid w:val="00CC043B"/>
    <w:rsid w:val="00CC30CF"/>
    <w:rsid w:val="00CC6CBA"/>
    <w:rsid w:val="00CD43A5"/>
    <w:rsid w:val="00CD5E1C"/>
    <w:rsid w:val="00CD65DF"/>
    <w:rsid w:val="00CE26EF"/>
    <w:rsid w:val="00D26952"/>
    <w:rsid w:val="00D316E2"/>
    <w:rsid w:val="00D4226A"/>
    <w:rsid w:val="00D5091C"/>
    <w:rsid w:val="00D524EC"/>
    <w:rsid w:val="00D73151"/>
    <w:rsid w:val="00D8570E"/>
    <w:rsid w:val="00D91478"/>
    <w:rsid w:val="00D96482"/>
    <w:rsid w:val="00D977EB"/>
    <w:rsid w:val="00DB2BB6"/>
    <w:rsid w:val="00DF13A0"/>
    <w:rsid w:val="00E15364"/>
    <w:rsid w:val="00E24F1E"/>
    <w:rsid w:val="00E31BD1"/>
    <w:rsid w:val="00E707E7"/>
    <w:rsid w:val="00E84A21"/>
    <w:rsid w:val="00E91236"/>
    <w:rsid w:val="00EA2F96"/>
    <w:rsid w:val="00EA3A5F"/>
    <w:rsid w:val="00EB520B"/>
    <w:rsid w:val="00EC6FF6"/>
    <w:rsid w:val="00ED08B6"/>
    <w:rsid w:val="00ED645C"/>
    <w:rsid w:val="00F15F39"/>
    <w:rsid w:val="00F30C8C"/>
    <w:rsid w:val="00F33D04"/>
    <w:rsid w:val="00F62169"/>
    <w:rsid w:val="00F96A4C"/>
    <w:rsid w:val="00FA49EE"/>
    <w:rsid w:val="00FB6587"/>
    <w:rsid w:val="00FF30BE"/>
    <w:rsid w:val="00FF6574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C6"/>
  </w:style>
  <w:style w:type="paragraph" w:styleId="3">
    <w:name w:val="heading 3"/>
    <w:basedOn w:val="a"/>
    <w:link w:val="30"/>
    <w:uiPriority w:val="9"/>
    <w:qFormat/>
    <w:rsid w:val="00751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1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1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lan.ru/articles/theory/bkg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back.ru/articles/theory/strman/strman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plan.ru/articles/theory/stanaliz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plan.ru/articles/theory/mckince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1494</Words>
  <Characters>8519</Characters>
  <Application>Microsoft Office Word</Application>
  <DocSecurity>0</DocSecurity>
  <Lines>70</Lines>
  <Paragraphs>19</Paragraphs>
  <ScaleCrop>false</ScaleCrop>
  <Company>Microsoft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2020-04-10T13:34:00Z</dcterms:created>
  <dcterms:modified xsi:type="dcterms:W3CDTF">2020-04-10T13:41:00Z</dcterms:modified>
</cp:coreProperties>
</file>