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МИНИСТЕРСТВО СЕЛЬСКОГО ХОЗЯЙСТВА 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РОССИЙСКОЙ ФЕДЕРАЦИИ</w:t>
      </w:r>
    </w:p>
    <w:p w:rsidR="008A034D" w:rsidRPr="008A034D" w:rsidRDefault="008A034D" w:rsidP="008A034D">
      <w:pPr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A034D" w:rsidRPr="008A034D" w:rsidRDefault="008A034D" w:rsidP="008A034D">
      <w:pPr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Казанский государственный аграрный университет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034D" w:rsidRPr="008A034D" w:rsidRDefault="008A034D" w:rsidP="008A034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Институт экономики</w:t>
      </w:r>
    </w:p>
    <w:p w:rsidR="008A034D" w:rsidRPr="008A034D" w:rsidRDefault="008A034D" w:rsidP="008A03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Кафедра 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Организации сельскохозяйственного производства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034D" w:rsidRPr="008A034D" w:rsidRDefault="008A034D" w:rsidP="008A034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40"/>
          <w:szCs w:val="40"/>
          <w:lang w:eastAsia="ru-RU"/>
        </w:rPr>
        <w:t>К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онтрольная работа </w:t>
      </w:r>
    </w:p>
    <w:p w:rsidR="008A034D" w:rsidRPr="008A034D" w:rsidRDefault="008A034D" w:rsidP="008A03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дисциплине: 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Стратегический анализ и планирование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Выполнил студент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курса заочного отделения 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Профиль: Производственный 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менеджмент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Группы: Б372-05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Уплисашвили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Альберт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Шифр: ЭЗ17394</w:t>
      </w: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Преподаватель: доцент 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Асадуллин</w:t>
      </w:r>
      <w:proofErr w:type="spellEnd"/>
      <w:r w:rsidRPr="008A034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Н.М.</w:t>
      </w:r>
    </w:p>
    <w:p w:rsidR="008A034D" w:rsidRPr="008A034D" w:rsidRDefault="008A034D" w:rsidP="008A034D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lang w:eastAsia="ru-RU"/>
        </w:rPr>
      </w:pPr>
    </w:p>
    <w:p w:rsidR="008A034D" w:rsidRDefault="008A034D" w:rsidP="008A0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Казань 2020</w:t>
      </w:r>
    </w:p>
    <w:p w:rsidR="008A034D" w:rsidRDefault="008A034D" w:rsidP="008A0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A034D" w:rsidRDefault="008A034D" w:rsidP="008A0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B7A42" w:rsidRPr="005B7A42" w:rsidRDefault="005B7A42" w:rsidP="005B7A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обеспеченности предприятия трудовыми ресурсами</w:t>
      </w:r>
    </w:p>
    <w:p w:rsidR="005B7A42" w:rsidRDefault="00DA2390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A034D" w:rsidRPr="008A034D" w:rsidRDefault="00DA2390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34D"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показателей трудовых ресурсов в первую очередь обращается внимание на то, как организация обеспечена необходимым персоналом. С этой целью рассматриваются: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и структура промышленно-производственного персонала;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обеспеченность организац</w:t>
      </w:r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рабочими, административно-управленческим персоналом;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обеспеченность квалификационным составом </w:t>
      </w:r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движение рабочей силы.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организации подразделяются на две основные группы: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промышленно-производственный персонал (ППП) - работники, непосредственно участвующие в производственном процессе или обслуживающие этот процесс;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непромышленный персонал - работники, непосредственно не связанные с основной деятельностью организации, но создающие нормальные условия для воспроизводства рабочей силы.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состава рабочей силы необходимо проанализировать изменение удельного веса вспомогательных рабочих в общей численности работающих. При этом оценивается выполнение в организации заданий по сокращению применения ручного труда, которое может устанавливаться в виде показателя удельного веса численности рабочих, занятых ручным трудом, по отношению к общей численности рабочих по состоянию на конец каждого отчетного года. Таким образом, вывод о выполнении задания по сокращению применения в организации ручного труда делается на основе сопоставления удельного веса численности вышеуказанных рабочих за предыдущие отчетные годы.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численности и движения рабочих, кроме того, что устанавливается показатель абсолютного отклонения по численности рабочих, определяется также относительное отклонение численности рабочих от планового показателя и предыдущего отчетного периода в связи с изменением объема выпускаемой продукции, для чего исчисляются следующие показатели: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коэффициент изменения объема продукции, определяемый путем деления фактического выпуска продукции на плановый выпуск продукции;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плановая численность персонала, скорректированная на коэффициент изменения выпуска продукции;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разница между фактической численностью персонала и плановой, скорректированной на коэффициент изменения выпуска продукции.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численности рабочей силы следует учитывать, что ее недостаток приводит к отступлению от установленной технологии и непроизводительным выплатам, а излишек - к недогрузке рабочих и использованию рабочей силы не по прямому назначению и снижению производительности труда.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численности рабочей силы необходимо выявить реальное положение дел с обеспеченностью организации кадрами. На основе сопоставления показателей среднего разряда рабочих и среднего разряда работ можно определить соответствие квалификации рабочих сложности выполняемых ими работ.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Квалификационный состав рабочих, являясь обобщающим показателем, характеризует показатель среднего тарифного разряда работающих, расчет которого осуществляется путем деления произведения численности рабочих </w:t>
      </w: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разряда на тарифный коэффициент соответствующего разряда на численность рабочих каждого разряда, а именно:</w:t>
      </w:r>
    </w:p>
    <w:p w:rsidR="00DA2390" w:rsidRDefault="00DA2390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 × Тарифный коэффициент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разряда каждого разряда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тарифный =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Численность рабочих каждого разряда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DA2390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A034D"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обеспеченности по уровню квалификации производится сопоставлением среднего фактического коэффициента рабочих той или иной специальности со средним коэффициентом фактически выполненных работ. Если фактический средний тарифный разряд рабочих ниже планового, а тем более ниже среднего тарифного разряда работ, то можно сделать следующие выводы: качество продукции (работ, услуг) и ее конкурентоспособность снижаются, затраты на производство и реализацию продукции повышаются.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DA2390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A034D"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средний разряд рабочих выше среднего тарифного разряда работ, то можно сделать следующий вывод: имеют место непроизводительные расходы (влекущие повышение себестоимости продукции и снижение прибыли) в связи с доплатами рабочим за их использование на менее квалифицированных работах. Это увеличивает себестоимость и снижает прибыль.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DA2390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A034D"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Существенной предпосылкой роста производительности труда и эффективности производства является стабильность состава кадров. Изменение в составе рабочих по возрасту, стажу работы и образованию </w:t>
      </w:r>
      <w:r w:rsidR="008A034D"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вследствие движения рабочей силы. Движение рабочей силы и его динамики является важнейшим объектом анализа.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численности работающих, связанное с их приемом и увольнением, независимо от причин выбытия и источников пополнения, называют оборотом рабочей силы.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качества работы с кадрами используется система показателей, характеризующих движение рабочей силы и детализирующих особенности этого оборота. Для характеристики и движения рабочей силы рассчитывают и анализируют динамику следующих показателей: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Коэффициент оборота по приему (</w:t>
      </w:r>
      <w:proofErr w:type="spell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Кпр</w:t>
      </w:r>
      <w:proofErr w:type="spellEnd"/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отношение числа принятых за период к среднему списочному числу работающих за тот же период.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Коэффициент оборота по выбытию (увольнению) (</w:t>
      </w:r>
      <w:proofErr w:type="spell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отношение числа выбывших за период к среднему списочному числу работающих за тот же период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уволившихся работников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=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персонала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Коэффициент текучести (</w:t>
      </w:r>
      <w:proofErr w:type="spell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отношение числа выбывших за период по причинам, характеризующим излишний оборот (по собственному желанию и нарушению трудовой дисциплины), к среднему списочному числу работающих за тот же период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уволившихся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собственному желанию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нарушение трудовой дисциплины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=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персонала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Коэффициент постоянства состава персонала (постоянства кадров) (</w:t>
      </w:r>
      <w:proofErr w:type="spell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Кп.с</w:t>
      </w:r>
      <w:proofErr w:type="spell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отношение числа работников, проработавших весь период, среднему списочному числу работающих за тот же период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работников, проработавших весь год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КП.С. =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персонала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показатели изучаются в динамике. Определяются причины увольнения работников (по собственному желанию, сокращению кадров, при нарушении трудовой дисциплины, поступление в учебные заведения, переезд к месту жительства мужа или жены и др.).</w:t>
      </w:r>
    </w:p>
    <w:p w:rsidR="008A034D" w:rsidRPr="008A034D" w:rsidRDefault="008A034D" w:rsidP="008A0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DA2390" w:rsidRPr="00DA2390" w:rsidRDefault="00DA2390" w:rsidP="00DA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09580275"/>
      <w:bookmarkEnd w:id="1"/>
      <w:r w:rsidRPr="00DA2390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2" w:name="_Toc509579683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A2390">
        <w:rPr>
          <w:rFonts w:ascii="Times New Roman" w:hAnsi="Times New Roman" w:cs="Times New Roman"/>
          <w:b/>
          <w:bCs/>
          <w:sz w:val="28"/>
          <w:szCs w:val="28"/>
        </w:rPr>
        <w:t>Анализ использования рабочего времени</w:t>
      </w:r>
      <w:bookmarkEnd w:id="2"/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2390">
        <w:rPr>
          <w:rFonts w:ascii="Times New Roman" w:hAnsi="Times New Roman" w:cs="Times New Roman"/>
          <w:sz w:val="28"/>
          <w:szCs w:val="28"/>
        </w:rPr>
        <w:t xml:space="preserve">Одним из важнейших условий выполнения плана производства, увеличения выработки продукции на каждого члена трудового коллектива, а также рационального использования трудовых ресурсов является экономное и эффективное использование рабочего времени. От того, насколько полно и рационально используется рабочее время, зависят эффективность работы, выполнение всех технико-экономических показателей. Поэтому анализ </w:t>
      </w:r>
      <w:r w:rsidRPr="00DA2390">
        <w:rPr>
          <w:rFonts w:ascii="Times New Roman" w:hAnsi="Times New Roman" w:cs="Times New Roman"/>
          <w:sz w:val="28"/>
          <w:szCs w:val="28"/>
        </w:rPr>
        <w:lastRenderedPageBreak/>
        <w:t>использования рабочего времени является важной составной частью аналитической работы на промышленном предприятии.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 xml:space="preserve">Полноту использования трудовых ресурсов можно оценить по количеству отработанных дней и часов одним работником за анализируемый период времени, а также по степени использования фонда рабочего времени. Такой анализ проводится по каждой категории работников, по каждому производственному подразделению и в целом </w:t>
      </w:r>
      <w:proofErr w:type="gramStart"/>
      <w:r w:rsidRPr="00DA23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2390">
        <w:rPr>
          <w:rFonts w:ascii="Times New Roman" w:hAnsi="Times New Roman" w:cs="Times New Roman"/>
          <w:sz w:val="28"/>
          <w:szCs w:val="28"/>
        </w:rPr>
        <w:t xml:space="preserve"> предприятии.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Фонд рабочего времени (ФРВ) зависит от численности рабочих (</w:t>
      </w:r>
      <w:proofErr w:type="gramStart"/>
      <w:r w:rsidRPr="00DA239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A2390">
        <w:rPr>
          <w:rFonts w:ascii="Times New Roman" w:hAnsi="Times New Roman" w:cs="Times New Roman"/>
          <w:sz w:val="28"/>
          <w:szCs w:val="28"/>
        </w:rPr>
        <w:t>), количества отработанных дней одним рабочим в среднем за год (Д) и средней продолжительности рабочего дня (П):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 xml:space="preserve">ФРВ = </w:t>
      </w:r>
      <w:proofErr w:type="gramStart"/>
      <w:r w:rsidRPr="00DA239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A2390">
        <w:rPr>
          <w:rFonts w:ascii="Times New Roman" w:hAnsi="Times New Roman" w:cs="Times New Roman"/>
          <w:sz w:val="28"/>
          <w:szCs w:val="28"/>
        </w:rPr>
        <w:t xml:space="preserve"> * Д * П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Если фактически одним рабочим отработано меньше дней и часов, чем предусматривалось планом, то можно определить сверхплановые потери рабочего времени: целодневные (ЦДП) и внутрисменные (ВСП):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br/>
      </w:r>
      <w:r w:rsidRPr="00DA2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ED7F5" wp14:editId="1D9F8F13">
            <wp:extent cx="1990725" cy="485775"/>
            <wp:effectExtent l="0" t="0" r="9525" b="9525"/>
            <wp:docPr id="1" name="Рисунок 1" descr="https://www.bestreferat.ru/images/paper/96/81/7408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96/81/74081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 xml:space="preserve">После определения сверхплановых потерь рабочего времени необходимо изучить причины их образования. Они могут быть вызваны разными объективными и субъективными обстоятельствами, не предусмотренными планом: дополнительными отпусками с разрешения администрации, заболеваниями рабочих с временной потерей трудоспособности, прогулами, простоями из-за неисправности оборудования, машин, механизмов, из-за отсутствия работы, сырья, материалов, электроэнергии, топлива и т.д. Каждый вид потерь анализируется более подробно, особенно те, которые зависят от предприятия. Уменьшение потерь рабочего времени по причинам, зависящим от трудового коллектива, является резервом увеличения производства продукции, </w:t>
      </w:r>
      <w:proofErr w:type="gramStart"/>
      <w:r w:rsidRPr="00DA239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A2390">
        <w:rPr>
          <w:rFonts w:ascii="Times New Roman" w:hAnsi="Times New Roman" w:cs="Times New Roman"/>
          <w:sz w:val="28"/>
          <w:szCs w:val="28"/>
        </w:rPr>
        <w:t xml:space="preserve"> не требует дополнительных капитальных вложений и позволяет быстро получить отдачу.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lastRenderedPageBreak/>
        <w:t>Изучив потери рабочего времени, необходимо определить непроизводительные затраты труда, которые складываются из затрат рабочего времени в результате изготовления забракованной продукции и исправления брака, а также в связи с отклонениями от технологического процесса. Для определения непроизводительных потерь рабочего времени используются данные о потерях от брака (журнал-ордер № 10).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Потери рабочего времени в связи с отклонением от нормальных условий работы определяются делением суммы доплат по этой причине на среднюю зарплату за 1 ч. На данном предприятии таковых доплат не было.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Сокращение потерь рабочего времени - один из резервов увеличения выпуска продукции. Чтобы подсчитать его, необходимо потери рабочего времени (ПРВ) по вине предприятия умножить на плановую среднечасовую выработку продукции: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39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DA2390">
        <w:rPr>
          <w:rFonts w:ascii="Times New Roman" w:hAnsi="Times New Roman" w:cs="Times New Roman"/>
          <w:sz w:val="28"/>
          <w:szCs w:val="28"/>
        </w:rPr>
        <w:t>ТП=ПРВ * СВ</w:t>
      </w:r>
      <w:r w:rsidRPr="00DA2390">
        <w:rPr>
          <w:rFonts w:ascii="Times New Roman" w:hAnsi="Times New Roman" w:cs="Times New Roman"/>
          <w:sz w:val="28"/>
          <w:szCs w:val="28"/>
          <w:vertAlign w:val="subscript"/>
        </w:rPr>
        <w:t>ПЛ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Однако надо иметь в виду, что потери рабочего времени, не всегда приводят к уменьшению объема производства продукции, так как они могут быть компенсированы повышением интенсивности труда работников. Поэтому при анализе использования трудовых ресурсов большое внимание уделяется изучению показателей производительности труда.</w:t>
      </w:r>
    </w:p>
    <w:p w:rsid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b/>
          <w:bCs/>
          <w:sz w:val="28"/>
          <w:szCs w:val="28"/>
        </w:rPr>
        <w:t>Анализ производительности труда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2390">
        <w:rPr>
          <w:rFonts w:ascii="Times New Roman" w:hAnsi="Times New Roman" w:cs="Times New Roman"/>
          <w:sz w:val="28"/>
          <w:szCs w:val="28"/>
        </w:rPr>
        <w:t>Один и тот же результат в процессе производства может быть получен при различной степени эффективности труда. Мера эффективности труда в процессе производства получила название производительности труда. Иными словами,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 xml:space="preserve">На рабочем месте, в цехе, на предприятии производительность труда определяется количеством продукции, которую производит рабочий за </w:t>
      </w:r>
      <w:r w:rsidRPr="00DA2390">
        <w:rPr>
          <w:rFonts w:ascii="Times New Roman" w:hAnsi="Times New Roman" w:cs="Times New Roman"/>
          <w:sz w:val="28"/>
          <w:szCs w:val="28"/>
        </w:rPr>
        <w:lastRenderedPageBreak/>
        <w:t>единицу времени (выработка), или количеством времени, затрачиваемого на изготовление единицы продукции (трудоемкость).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Этому показателю необходимо уделять особое внимание, т.к. именно от него зависит уровень многих других показателей – объем выработанной продукции, уровень ее себестоимости, расход фонда заработной платы и др.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В процессе анализа производительности труда необходимо установить степень выполнения плана и динамику роста, причины изменения уровня производительности труда. Такими причинами могут быть изменение объема продукции и численности ППП, использование средств механизации и автоматизации, наличие или устранение внутрисменных и целодневных простоев и др.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Обобщающий показатель производительности труда (выработка на одного работающего или одного рабочего) в значительной степени зависит от материалоемкости отдельных видов продукции, объема кооперированных поставок, структуры продукции.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Производительность труда исчисляется на одного работника ППП и на одного рабочего. Наличие этих двух показателей позволяет проанализировать сдвиги структуры персонала предприятия.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служащих. Рост удельного веса служащих оправдан лишь в том случае, если при этом достигается повышение производительности труда всего персонала ППП за счет боле высокой организации производства, труда и управления. Как правило, темпы роста производительности труда одного работника ППП (одного работающего) должны быть равны или быть выше темпов роста производительности одного рабочего.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Для оценки уровня производительности труда применяется система обобщающих и частных показателей.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lastRenderedPageBreak/>
        <w:t>К обобщающим показателям относятся среднегодовая, среднедневная, среднечасовая выработка продукции на одного работающего в стоимостном выражении. Частные показатели - это затраты времени на производство единицы продукции в натуральном выражении за один человеко-день или человеко-час.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>Среднегодовую выработку продукции одним работником можно представить в виде произведения следующих факторов:</w:t>
      </w:r>
    </w:p>
    <w:p w:rsidR="00DA2390" w:rsidRPr="00DA2390" w:rsidRDefault="00DA2390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90">
        <w:rPr>
          <w:rFonts w:ascii="Times New Roman" w:hAnsi="Times New Roman" w:cs="Times New Roman"/>
          <w:sz w:val="28"/>
          <w:szCs w:val="28"/>
        </w:rPr>
        <w:t xml:space="preserve">ГВ= УД * Д * </w:t>
      </w:r>
      <w:proofErr w:type="gramStart"/>
      <w:r w:rsidRPr="00DA23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2390">
        <w:rPr>
          <w:rFonts w:ascii="Times New Roman" w:hAnsi="Times New Roman" w:cs="Times New Roman"/>
          <w:sz w:val="28"/>
          <w:szCs w:val="28"/>
        </w:rPr>
        <w:t xml:space="preserve"> * СВ</w:t>
      </w:r>
    </w:p>
    <w:p w:rsidR="00464068" w:rsidRPr="008A034D" w:rsidRDefault="00464068" w:rsidP="00DA2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068" w:rsidRPr="008A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31"/>
    <w:rsid w:val="00464068"/>
    <w:rsid w:val="005B7A42"/>
    <w:rsid w:val="008A034D"/>
    <w:rsid w:val="009C1131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2020-04-06T17:36:00Z</dcterms:created>
  <dcterms:modified xsi:type="dcterms:W3CDTF">2020-04-06T19:16:00Z</dcterms:modified>
</cp:coreProperties>
</file>