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5A5" w:rsidRDefault="00D041CA" w:rsidP="007175A5">
      <w:pPr>
        <w:spacing w:before="2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041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="007175A5">
        <w:rPr>
          <w:rFonts w:ascii="Times New Roman" w:hAnsi="Times New Roman" w:cs="Times New Roman"/>
          <w:b/>
          <w:color w:val="000000"/>
          <w:sz w:val="24"/>
          <w:szCs w:val="24"/>
        </w:rPr>
        <w:t>МИНИСТЕРСТВО СЕЛЬСКОГО ХОЗЯЙСТВА РОССИЙСКОЙ ФЕДЕРАЦИИ</w:t>
      </w:r>
    </w:p>
    <w:p w:rsidR="007175A5" w:rsidRDefault="007175A5" w:rsidP="007175A5">
      <w:pPr>
        <w:spacing w:before="24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Федеральное государственное бюджетное образовательное учреждение высшего образования</w:t>
      </w:r>
    </w:p>
    <w:p w:rsidR="007175A5" w:rsidRDefault="007175A5" w:rsidP="007175A5">
      <w:pPr>
        <w:spacing w:before="24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«Казанский государственный аграрный университет»</w:t>
      </w:r>
    </w:p>
    <w:p w:rsidR="007175A5" w:rsidRDefault="007175A5" w:rsidP="007175A5">
      <w:pPr>
        <w:spacing w:before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Институт экономики</w:t>
      </w:r>
    </w:p>
    <w:p w:rsidR="007175A5" w:rsidRDefault="007175A5" w:rsidP="007175A5">
      <w:pPr>
        <w:spacing w:before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Кафедра «Организации сельскохозяйственного производства»</w:t>
      </w:r>
    </w:p>
    <w:p w:rsidR="007175A5" w:rsidRDefault="007175A5" w:rsidP="007175A5">
      <w:pPr>
        <w:spacing w:before="240"/>
        <w:jc w:val="center"/>
        <w:rPr>
          <w:rFonts w:ascii="Times New Roman" w:hAnsi="Times New Roman"/>
          <w:b/>
          <w:sz w:val="52"/>
          <w:szCs w:val="52"/>
        </w:rPr>
      </w:pPr>
    </w:p>
    <w:p w:rsidR="007175A5" w:rsidRDefault="007175A5" w:rsidP="007175A5">
      <w:pPr>
        <w:spacing w:before="240"/>
        <w:jc w:val="center"/>
        <w:rPr>
          <w:rFonts w:ascii="Times New Roman" w:hAnsi="Times New Roman"/>
          <w:b/>
          <w:sz w:val="52"/>
          <w:szCs w:val="52"/>
        </w:rPr>
      </w:pPr>
    </w:p>
    <w:p w:rsidR="007175A5" w:rsidRDefault="007175A5" w:rsidP="007175A5">
      <w:pPr>
        <w:spacing w:before="240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Контрольная работа</w:t>
      </w:r>
    </w:p>
    <w:p w:rsidR="007175A5" w:rsidRDefault="007175A5" w:rsidP="007175A5">
      <w:pPr>
        <w:spacing w:before="240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По дисциплине: «Стратегический анализ и планирование»</w:t>
      </w:r>
    </w:p>
    <w:p w:rsidR="007175A5" w:rsidRDefault="007175A5" w:rsidP="007175A5">
      <w:pPr>
        <w:spacing w:before="240"/>
        <w:ind w:left="4395"/>
        <w:rPr>
          <w:rFonts w:ascii="Times New Roman" w:hAnsi="Times New Roman"/>
          <w:b/>
          <w:sz w:val="28"/>
          <w:szCs w:val="28"/>
        </w:rPr>
      </w:pPr>
    </w:p>
    <w:p w:rsidR="007175A5" w:rsidRDefault="007175A5" w:rsidP="007175A5">
      <w:pPr>
        <w:spacing w:before="240"/>
        <w:ind w:left="425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Выполнил студент</w:t>
      </w:r>
    </w:p>
    <w:p w:rsidR="007175A5" w:rsidRDefault="007175A5" w:rsidP="007175A5">
      <w:pPr>
        <w:spacing w:before="240"/>
        <w:ind w:left="425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курса заочного отделения</w:t>
      </w:r>
    </w:p>
    <w:p w:rsidR="007175A5" w:rsidRDefault="007175A5" w:rsidP="007175A5">
      <w:pPr>
        <w:spacing w:before="240"/>
        <w:ind w:left="425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Профиль: Производственный менеджмент</w:t>
      </w:r>
    </w:p>
    <w:p w:rsidR="007175A5" w:rsidRDefault="007175A5" w:rsidP="007175A5">
      <w:pPr>
        <w:spacing w:before="240"/>
        <w:ind w:left="425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Группы Б372-05</w:t>
      </w:r>
    </w:p>
    <w:p w:rsidR="007175A5" w:rsidRDefault="007175A5" w:rsidP="007175A5">
      <w:pPr>
        <w:spacing w:before="240"/>
        <w:ind w:left="4253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Агмалова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Людмила Алексеевна</w:t>
      </w:r>
    </w:p>
    <w:p w:rsidR="007175A5" w:rsidRDefault="007175A5" w:rsidP="007175A5">
      <w:pPr>
        <w:spacing w:before="240"/>
        <w:ind w:left="425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Шифр: ЭЗ17400К</w:t>
      </w:r>
    </w:p>
    <w:p w:rsidR="007175A5" w:rsidRDefault="007175A5" w:rsidP="007175A5">
      <w:pPr>
        <w:spacing w:before="240"/>
        <w:ind w:left="425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Преподаватель: доцент </w:t>
      </w:r>
      <w:proofErr w:type="spellStart"/>
      <w:r>
        <w:rPr>
          <w:rFonts w:ascii="Times New Roman" w:hAnsi="Times New Roman"/>
          <w:b/>
          <w:sz w:val="28"/>
          <w:szCs w:val="28"/>
        </w:rPr>
        <w:t>Асадуллин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Н.М.</w:t>
      </w:r>
    </w:p>
    <w:p w:rsidR="007175A5" w:rsidRDefault="007175A5" w:rsidP="007175A5">
      <w:pPr>
        <w:spacing w:before="240"/>
        <w:jc w:val="center"/>
        <w:rPr>
          <w:rFonts w:ascii="Times New Roman" w:hAnsi="Times New Roman"/>
          <w:b/>
          <w:sz w:val="28"/>
          <w:szCs w:val="28"/>
        </w:rPr>
      </w:pPr>
    </w:p>
    <w:p w:rsidR="007175A5" w:rsidRDefault="007175A5" w:rsidP="007175A5">
      <w:pPr>
        <w:spacing w:before="240"/>
        <w:jc w:val="center"/>
        <w:rPr>
          <w:rFonts w:ascii="Times New Roman" w:hAnsi="Times New Roman"/>
          <w:b/>
          <w:sz w:val="28"/>
          <w:szCs w:val="28"/>
        </w:rPr>
      </w:pPr>
    </w:p>
    <w:p w:rsidR="007175A5" w:rsidRDefault="007175A5" w:rsidP="007175A5">
      <w:pPr>
        <w:spacing w:before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Казань 20</w:t>
      </w:r>
      <w:r>
        <w:rPr>
          <w:rFonts w:ascii="Times New Roman" w:hAnsi="Times New Roman"/>
          <w:b/>
          <w:sz w:val="28"/>
          <w:szCs w:val="28"/>
        </w:rPr>
        <w:t>20</w:t>
      </w:r>
    </w:p>
    <w:p w:rsidR="007175A5" w:rsidRDefault="007175A5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br w:type="page"/>
      </w:r>
    </w:p>
    <w:p w:rsidR="00D041CA" w:rsidRPr="00D041CA" w:rsidRDefault="00D041CA" w:rsidP="00D041CA">
      <w:pPr>
        <w:spacing w:before="100" w:beforeAutospacing="1" w:after="100" w:afterAutospacing="1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D041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Способ пропорционального деления и долевого участия</w:t>
      </w:r>
    </w:p>
    <w:p w:rsidR="00D041CA" w:rsidRDefault="00D041CA" w:rsidP="00D041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D041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Сущность, назначение и сфера применения способа про</w:t>
      </w:r>
      <w:r w:rsidRPr="00D041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softHyphen/>
        <w:t>порционального деления. Порядок и алгоритмы расчетов влияния факторов этим способом.</w:t>
      </w:r>
    </w:p>
    <w:p w:rsidR="00D041CA" w:rsidRDefault="00D041CA" w:rsidP="00D041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041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ряде случаев для определения величины влияния факто</w:t>
      </w:r>
      <w:r w:rsidRPr="00D041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ров на прирост результативного показателя может быть исполь</w:t>
      </w:r>
      <w:r w:rsidRPr="00D041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зован</w:t>
      </w:r>
      <w:r w:rsidRPr="00D041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D041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способ пропорционального деления.</w:t>
      </w:r>
      <w:r w:rsidRPr="00D041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Это касается тех случаев, когда мы имеем дело с аддитивными моделями типа </w:t>
      </w:r>
      <w:r w:rsidRPr="00D041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V =</w:t>
      </w:r>
      <w:r w:rsidRPr="00D041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D041C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0975" cy="152400"/>
            <wp:effectExtent l="0" t="0" r="0" b="0"/>
            <wp:docPr id="34" name="Рисунок 34" descr="http://userdocs.ru/pars_docs/refs/62/61067/61067_html_m6100c9b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serdocs.ru/pars_docs/refs/62/61067/61067_html_m6100c9b8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D041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Xi</w:t>
      </w:r>
      <w:proofErr w:type="spellEnd"/>
      <w:r w:rsidRPr="00D041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и кратно-аддитивного типа</w:t>
      </w:r>
    </w:p>
    <w:p w:rsidR="00D041CA" w:rsidRDefault="00D041CA" w:rsidP="00D041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04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41C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0" cy="318304"/>
            <wp:effectExtent l="0" t="0" r="0" b="5715"/>
            <wp:docPr id="33" name="Рисунок 33" descr="http://userdocs.ru/pars_docs/refs/62/61067/61067_html_m7e96236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serdocs.ru/pars_docs/refs/62/61067/61067_html_m7e96236c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084" cy="34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4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041CA" w:rsidRDefault="00D041CA" w:rsidP="00D041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041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первом случае, когда имеем одноуровневую модель типа V= </w:t>
      </w:r>
      <w:r w:rsidRPr="00D041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а</w:t>
      </w:r>
      <w:r w:rsidRPr="00D041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+ </w:t>
      </w:r>
      <w:r w:rsidRPr="00D041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b + с.</w:t>
      </w:r>
      <w:r w:rsidRPr="00D041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расчет проводится следующим образом:</w:t>
      </w:r>
    </w:p>
    <w:p w:rsidR="00D041CA" w:rsidRDefault="00D041CA" w:rsidP="00D041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041C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67125" cy="866775"/>
            <wp:effectExtent l="0" t="0" r="9525" b="9525"/>
            <wp:docPr id="32" name="Рисунок 32" descr="http://userdocs.ru/pars_docs/refs/62/61067/61067_html_169b8f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serdocs.ru/pars_docs/refs/62/61067/61067_html_169b8f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4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041CA" w:rsidRDefault="00D041CA" w:rsidP="00D041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041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Например, уровень рентабельности снизился на 8% в связи с увеличением капитала предприятия на 200 млн руб. При этом стоимость основного капитала возросла на 250 млн руб., а обо</w:t>
      </w:r>
      <w:r w:rsidRPr="00D041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ротного уменьшилась на 50 млн руб. Значит, за счет первого фактора уровень рентабельности снизился, а за счет второго - повысился:</w:t>
      </w:r>
    </w:p>
    <w:p w:rsidR="00D041CA" w:rsidRDefault="00D041CA" w:rsidP="00D041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04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41C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33600" cy="828675"/>
            <wp:effectExtent l="0" t="0" r="0" b="9525"/>
            <wp:docPr id="31" name="Рисунок 31" descr="http://userdocs.ru/pars_docs/refs/62/61067/61067_html_ce3f1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serdocs.ru/pars_docs/refs/62/61067/61067_html_ce3f14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4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41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Методика расчета для смешанных моделей несколько слож</w:t>
      </w:r>
      <w:r w:rsidRPr="00D041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нее. Взаимосвязь факторов в комбинированной модели пока</w:t>
      </w:r>
      <w:r w:rsidRPr="00D041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зана на рис. 6.1.</w:t>
      </w:r>
    </w:p>
    <w:p w:rsidR="00D041CA" w:rsidRDefault="00D041CA" w:rsidP="00D041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04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41C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86175" cy="1747397"/>
            <wp:effectExtent l="0" t="0" r="0" b="5715"/>
            <wp:docPr id="30" name="Рисунок 30" descr="http://userdocs.ru/pars_docs/refs/62/61067/61067_html_m7aa604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serdocs.ru/pars_docs/refs/62/61067/61067_html_m7aa6045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7137" cy="1752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4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41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Когда известны </w:t>
      </w:r>
      <w:r w:rsidRPr="00D041C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0" cy="104775"/>
            <wp:effectExtent l="0" t="0" r="0" b="9525"/>
            <wp:docPr id="29" name="Рисунок 29" descr="http://userdocs.ru/pars_docs/refs/62/61067/61067_html_mce8f5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userdocs.ru/pars_docs/refs/62/61067/61067_html_mce8f55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D041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Вd</w:t>
      </w:r>
      <w:proofErr w:type="spellEnd"/>
      <w:r w:rsidRPr="00D041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 </w:t>
      </w:r>
      <w:r w:rsidRPr="00D041C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0" cy="104775"/>
            <wp:effectExtent l="0" t="0" r="0" b="9525"/>
            <wp:docPr id="28" name="Рисунок 28" descr="http://userdocs.ru/pars_docs/refs/62/61067/61067_html_mce8f5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serdocs.ru/pars_docs/refs/62/61067/61067_html_mce8f55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D041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Вп</w:t>
      </w:r>
      <w:proofErr w:type="spellEnd"/>
      <w:r w:rsidRPr="00D041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и </w:t>
      </w:r>
      <w:r w:rsidRPr="00D041C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0" cy="104775"/>
            <wp:effectExtent l="0" t="0" r="0" b="9525"/>
            <wp:docPr id="27" name="Рисунок 27" descr="http://userdocs.ru/pars_docs/refs/62/61067/61067_html_mce8f5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userdocs.ru/pars_docs/refs/62/61067/61067_html_mce8f55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41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Вт, </w:t>
      </w:r>
      <w:r w:rsidRPr="00D041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также </w:t>
      </w:r>
      <w:r w:rsidRPr="00D041C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0" cy="104775"/>
            <wp:effectExtent l="0" t="0" r="0" b="9525"/>
            <wp:docPr id="26" name="Рисунок 26" descr="http://userdocs.ru/pars_docs/refs/62/61067/61067_html_mce8f5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userdocs.ru/pars_docs/refs/62/61067/61067_html_mce8f55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D041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Yb</w:t>
      </w:r>
      <w:proofErr w:type="spellEnd"/>
      <w:r w:rsidRPr="00D041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то для определения </w:t>
      </w:r>
      <w:r w:rsidRPr="00D041C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0" cy="104775"/>
            <wp:effectExtent l="0" t="0" r="0" b="9525"/>
            <wp:docPr id="25" name="Рисунок 25" descr="http://userdocs.ru/pars_docs/refs/62/61067/61067_html_mce8f5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userdocs.ru/pars_docs/refs/62/61067/61067_html_mce8f55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D041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Y</w:t>
      </w:r>
      <w:r w:rsidRPr="00D041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vertAlign w:val="subscript"/>
          <w:lang w:eastAsia="ru-RU"/>
        </w:rPr>
        <w:t>d</w:t>
      </w:r>
      <w:proofErr w:type="spellEnd"/>
      <w:r w:rsidRPr="00D041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 </w:t>
      </w:r>
      <w:r w:rsidRPr="00D041C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0" cy="104775"/>
            <wp:effectExtent l="0" t="0" r="0" b="9525"/>
            <wp:docPr id="24" name="Рисунок 24" descr="http://userdocs.ru/pars_docs/refs/62/61067/61067_html_mce8f5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userdocs.ru/pars_docs/refs/62/61067/61067_html_mce8f55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D041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Y</w:t>
      </w:r>
      <w:r w:rsidRPr="00D041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vertAlign w:val="subscript"/>
          <w:lang w:eastAsia="ru-RU"/>
        </w:rPr>
        <w:t>n</w:t>
      </w:r>
      <w:proofErr w:type="spellEnd"/>
      <w:r w:rsidRPr="00D041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 </w:t>
      </w:r>
      <w:r w:rsidRPr="00D041C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0" cy="104775"/>
            <wp:effectExtent l="0" t="0" r="0" b="9525"/>
            <wp:docPr id="23" name="Рисунок 23" descr="http://userdocs.ru/pars_docs/refs/62/61067/61067_html_mce8f5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userdocs.ru/pars_docs/refs/62/61067/61067_html_mce8f55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D041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Y</w:t>
      </w:r>
      <w:r w:rsidRPr="00D041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vertAlign w:val="subscript"/>
          <w:lang w:eastAsia="ru-RU"/>
        </w:rPr>
        <w:t>m</w:t>
      </w:r>
      <w:proofErr w:type="spellEnd"/>
      <w:r w:rsidRPr="00D041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можно использовать способ пропорционального деления, который основан на пропорциональном распределении прироста результативного показателя Y за счет изменения фактора </w:t>
      </w:r>
      <w:proofErr w:type="gramStart"/>
      <w:r w:rsidRPr="00D041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В</w:t>
      </w:r>
      <w:r w:rsidRPr="00D041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между</w:t>
      </w:r>
      <w:proofErr w:type="gramEnd"/>
      <w:r w:rsidRPr="00D041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факторами второго уровня </w:t>
      </w:r>
      <w:r w:rsidRPr="00D041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D, N</w:t>
      </w:r>
      <w:r w:rsidRPr="00D041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и </w:t>
      </w:r>
      <w:r w:rsidRPr="00D041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М</w:t>
      </w:r>
      <w:r w:rsidRPr="00D041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соответственно величине их прироста. Пропорциональность этого распределения достигается путем определения постоянного для всех факторов коэффициента, который показывает величину изменения результативного показателя Y за счет изменения фактора </w:t>
      </w:r>
      <w:proofErr w:type="gramStart"/>
      <w:r w:rsidRPr="00D041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В</w:t>
      </w:r>
      <w:r w:rsidRPr="00D041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на</w:t>
      </w:r>
      <w:proofErr w:type="gramEnd"/>
      <w:r w:rsidRPr="00D041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единицу.</w:t>
      </w:r>
    </w:p>
    <w:p w:rsidR="00D041CA" w:rsidRDefault="00D041CA" w:rsidP="00D041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041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Величина коэффициента </w:t>
      </w:r>
      <w:r w:rsidRPr="00D041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(К)</w:t>
      </w:r>
      <w:r w:rsidRPr="00D041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определяется следующим </w:t>
      </w:r>
      <w:proofErr w:type="gramStart"/>
      <w:r w:rsidRPr="00D041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образом:</w:t>
      </w:r>
      <w:r w:rsidRPr="00D04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4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41C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81225" cy="419100"/>
            <wp:effectExtent l="0" t="0" r="9525" b="0"/>
            <wp:docPr id="22" name="Рисунок 22" descr="http://userdocs.ru/pars_docs/refs/62/61067/61067_html_m5e07c12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userdocs.ru/pars_docs/refs/62/61067/61067_html_m5e07c12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4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4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41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Умножив</w:t>
      </w:r>
      <w:proofErr w:type="gramEnd"/>
      <w:r w:rsidRPr="00D041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этот коэффициент на абсолютное отклонение </w:t>
      </w:r>
      <w:r w:rsidRPr="00D041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В </w:t>
      </w:r>
      <w:r w:rsidRPr="00D041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 счет соответствующего фактора, найдем изменение результативного показателя:</w:t>
      </w:r>
    </w:p>
    <w:p w:rsidR="00D041CA" w:rsidRDefault="00D041CA" w:rsidP="00D041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41C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19450" cy="228600"/>
            <wp:effectExtent l="0" t="0" r="0" b="0"/>
            <wp:docPr id="21" name="Рисунок 21" descr="http://userdocs.ru/pars_docs/refs/62/61067/61067_html_m4af9f0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userdocs.ru/pars_docs/refs/62/61067/61067_html_m4af9f070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1CA" w:rsidRDefault="00D041CA" w:rsidP="00D041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041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Например, себестоимость 1 </w:t>
      </w:r>
      <w:proofErr w:type="spellStart"/>
      <w:r w:rsidRPr="00D041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ткм</w:t>
      </w:r>
      <w:proofErr w:type="spellEnd"/>
      <w:r w:rsidRPr="00D041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 счет снижения среднегодовой выработки автомобиля повысилась на 180 руб. При этом известно, что среднегодовая выработка автомашины снизилась из-за:</w:t>
      </w:r>
    </w:p>
    <w:p w:rsidR="00D041CA" w:rsidRDefault="00D041CA" w:rsidP="00D041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041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а) сверхплановых простоев машин -5000 </w:t>
      </w:r>
      <w:proofErr w:type="spellStart"/>
      <w:r w:rsidRPr="00D041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ткм</w:t>
      </w:r>
      <w:proofErr w:type="spellEnd"/>
    </w:p>
    <w:p w:rsidR="00D041CA" w:rsidRDefault="00D041CA" w:rsidP="00D041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041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б) сверхплановых холостых пробегов -4000 </w:t>
      </w:r>
      <w:proofErr w:type="spellStart"/>
      <w:r w:rsidRPr="00D041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ткм</w:t>
      </w:r>
      <w:proofErr w:type="spellEnd"/>
    </w:p>
    <w:p w:rsidR="00D041CA" w:rsidRDefault="00D041CA" w:rsidP="00D041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041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неполного использования грузоподъемности -3000 ткм</w:t>
      </w:r>
    </w:p>
    <w:p w:rsidR="00D041CA" w:rsidRDefault="00D041CA" w:rsidP="00D041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041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Всего-12000 </w:t>
      </w:r>
      <w:proofErr w:type="spellStart"/>
      <w:r w:rsidRPr="00D041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ткм</w:t>
      </w:r>
      <w:proofErr w:type="spellEnd"/>
    </w:p>
    <w:p w:rsidR="00D041CA" w:rsidRDefault="00D041CA" w:rsidP="00D041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041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Отсюда можно определить изменение себестоимости под влиянием факторов второго </w:t>
      </w:r>
      <w:proofErr w:type="gramStart"/>
      <w:r w:rsidRPr="00D041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уровня:</w:t>
      </w:r>
      <w:r w:rsidRPr="00D04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4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41C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67000" cy="2657475"/>
            <wp:effectExtent l="0" t="0" r="0" b="9525"/>
            <wp:docPr id="20" name="Рисунок 20" descr="http://userdocs.ru/pars_docs/refs/62/61067/61067_html_26ee0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userdocs.ru/pars_docs/refs/62/61067/61067_html_26ee05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4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4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D041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</w:t>
      </w:r>
      <w:proofErr w:type="gramEnd"/>
      <w:r w:rsidRPr="00D041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решения такого типа задач можно использовать также способ долевого участия. Сначала определяется доля каждого фактора в общей сумме их приростов, которая затем умножается на общий прирост результативного показателя (табл. 6.5):</w:t>
      </w:r>
    </w:p>
    <w:p w:rsidR="00D041CA" w:rsidRDefault="00D041CA" w:rsidP="00D041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1C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90950" cy="695325"/>
            <wp:effectExtent l="0" t="0" r="0" b="9525"/>
            <wp:docPr id="19" name="Рисунок 19" descr="http://userdocs.ru/pars_docs/refs/62/61067/61067_html_m351367d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userdocs.ru/pars_docs/refs/62/61067/61067_html_m351367db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1CA" w:rsidRDefault="00D041CA" w:rsidP="00D041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041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Аналогичных примеров применения этого способа в АХД можно привести очень много, в чем вы сможете убедиться в процессе изучения отраслевого курса анализа хозяйственной деятельности предприятия.</w:t>
      </w:r>
    </w:p>
    <w:p w:rsidR="00D041CA" w:rsidRPr="00D041CA" w:rsidRDefault="00D041CA" w:rsidP="00D041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041C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24325" cy="2781300"/>
            <wp:effectExtent l="0" t="0" r="9525" b="0"/>
            <wp:docPr id="18" name="Рисунок 18" descr="http://userdocs.ru/pars_docs/refs/62/61067/61067_html_cbe49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userdocs.ru/pars_docs/refs/62/61067/61067_html_cbe4967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1CA" w:rsidRPr="00D041CA" w:rsidRDefault="00D041CA" w:rsidP="00D041CA">
      <w:pPr>
        <w:spacing w:before="100" w:beforeAutospacing="1" w:after="100" w:afterAutospacing="1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41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Интегральный способ в анализе хозяйственной деятельности</w:t>
      </w:r>
    </w:p>
    <w:p w:rsidR="00D041CA" w:rsidRDefault="00D041CA" w:rsidP="00D041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D041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Основные недостатки метода элиминирования. Проблема разложения дополнительного прироста от взаимодействия факторов между ними. Сущность интегрального метода и сфера его применения. Алгоритмы расчета влияния факторов в разных моделях интегральным способом.</w:t>
      </w:r>
    </w:p>
    <w:p w:rsidR="00D041CA" w:rsidRDefault="00D041CA" w:rsidP="00D041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041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Элиминирование как способ детерминированного факторного анализа имеет существенный недостаток. При его использовании исходят из того, что факторы изменяются независимо друг от друга. На самом же деле они изменяются совместно, взаимосвязано и от этого взаимодействия получается дополнительный прирост результативного показателя, который при применении способов элиминирования присоединяется к одному из факторов, как правило к последнему. В связи с этим величина влияния факторов на изменение результативного показателя меняется в зависимости от места, на которое поставлен тот или иной фактор в детерминированной модели.</w:t>
      </w:r>
    </w:p>
    <w:p w:rsidR="00D041CA" w:rsidRDefault="00D041CA" w:rsidP="00D041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041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Рассмотрим это на примере, который дан в табл. 6.1. Согласно приведенным в ней данным, количество рабочих на предприятии увеличилось на 20%, производительность труда - на 25%, а объем валовой продукции - на 50%. Это значит, что 5% (50 - 20 - 25), или 8000 млн руб. валовой продукции составляет дополнительный прирост от взаимодействия обоих факторов.</w:t>
      </w:r>
    </w:p>
    <w:p w:rsidR="00D041CA" w:rsidRDefault="00D041CA" w:rsidP="00D041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041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Когда мы подсчитаем условный объем валовой продукции, исходя из фактического количества рабочих и планового уровня производительности труда, то весь дополнительный прирост от взаимодействия двух факторов относится к качественному фактору — изменению производительности труда:</w:t>
      </w:r>
    </w:p>
    <w:p w:rsidR="00D041CA" w:rsidRDefault="00D041CA" w:rsidP="00D041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041C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86175" cy="1304925"/>
            <wp:effectExtent l="0" t="0" r="9525" b="9525"/>
            <wp:docPr id="17" name="Рисунок 17" descr="http://userdocs.ru/pars_docs/refs/62/61067/61067_html_m53eaa1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userdocs.ru/pars_docs/refs/62/61067/61067_html_m53eaa101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4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41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Если же при расчете условного объема валовой продукции взять запланированное количество рабочих и фактический уровень производительности труда, то весь дополнительный прирост валовой продукции относится к количественному фактору, который мы изменяем во вторую </w:t>
      </w:r>
      <w:proofErr w:type="gramStart"/>
      <w:r w:rsidRPr="00D041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очередь:</w:t>
      </w:r>
      <w:r w:rsidRPr="00D04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41C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24250" cy="1314450"/>
            <wp:effectExtent l="0" t="0" r="0" b="0"/>
            <wp:docPr id="16" name="Рисунок 16" descr="http://userdocs.ru/pars_docs/refs/62/61067/61067_html_m45e5700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userdocs.ru/pars_docs/refs/62/61067/61067_html_m45e5700a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4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41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Покажем</w:t>
      </w:r>
      <w:proofErr w:type="gramEnd"/>
      <w:r w:rsidRPr="00D041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графическое решение задачи в разных вариантах (рис. 6.2).</w:t>
      </w:r>
    </w:p>
    <w:p w:rsidR="00D041CA" w:rsidRDefault="00D041CA" w:rsidP="00D041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D041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первом варианте расчета условный показатель имеет форму: </w:t>
      </w:r>
      <w:proofErr w:type="spellStart"/>
      <w:r w:rsidRPr="00D041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ВП</w:t>
      </w:r>
      <w:r w:rsidRPr="00D041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vertAlign w:val="subscript"/>
          <w:lang w:eastAsia="ru-RU"/>
        </w:rPr>
        <w:t>усл</w:t>
      </w:r>
      <w:proofErr w:type="spellEnd"/>
      <w:r w:rsidRPr="00D041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 = </w:t>
      </w:r>
      <w:proofErr w:type="spellStart"/>
      <w:r w:rsidRPr="00D041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ЧРф</w:t>
      </w:r>
      <w:proofErr w:type="spellEnd"/>
      <w:r w:rsidRPr="00D041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D041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</w:t>
      </w:r>
      <w:r w:rsidRPr="00D041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D041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ГВ</w:t>
      </w:r>
      <w:r w:rsidRPr="00D041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vertAlign w:val="subscript"/>
          <w:lang w:eastAsia="ru-RU"/>
        </w:rPr>
        <w:t>пл</w:t>
      </w:r>
      <w:proofErr w:type="spellEnd"/>
      <w:r w:rsidRPr="00D041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,</w:t>
      </w:r>
      <w:r w:rsidRPr="00D041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во втором – </w:t>
      </w:r>
      <w:proofErr w:type="spellStart"/>
      <w:r w:rsidRPr="00D041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ВП</w:t>
      </w:r>
      <w:r w:rsidRPr="00D041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vertAlign w:val="subscript"/>
          <w:lang w:eastAsia="ru-RU"/>
        </w:rPr>
        <w:t>усл</w:t>
      </w:r>
      <w:proofErr w:type="spellEnd"/>
      <w:r w:rsidRPr="00D041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 = </w:t>
      </w:r>
      <w:proofErr w:type="spellStart"/>
      <w:r w:rsidRPr="00D041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ЧР</w:t>
      </w:r>
      <w:r w:rsidRPr="00D041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vertAlign w:val="subscript"/>
          <w:lang w:eastAsia="ru-RU"/>
        </w:rPr>
        <w:t>пл</w:t>
      </w:r>
      <w:proofErr w:type="spellEnd"/>
      <w:r w:rsidRPr="00D041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D041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</w:t>
      </w:r>
      <w:r w:rsidRPr="00D041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D041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ГВф</w:t>
      </w:r>
      <w:proofErr w:type="spellEnd"/>
      <w:r w:rsidRPr="00D041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D041CA" w:rsidRDefault="00D041CA" w:rsidP="00D041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041C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52875" cy="2266950"/>
            <wp:effectExtent l="0" t="0" r="9525" b="0"/>
            <wp:docPr id="15" name="Рисунок 15" descr="http://userdocs.ru/pars_docs/refs/62/61067/61067_html_m705b38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userdocs.ru/pars_docs/refs/62/61067/61067_html_m705b38e1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4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4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41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Соответственно отклонения за счет каждого фактора в первом случае</w:t>
      </w:r>
      <w:r w:rsidRPr="00D04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4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41C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33700" cy="266700"/>
            <wp:effectExtent l="0" t="0" r="0" b="0"/>
            <wp:docPr id="14" name="Рисунок 14" descr="http://userdocs.ru/pars_docs/refs/62/61067/61067_html_m326215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userdocs.ru/pars_docs/refs/62/61067/61067_html_m32621513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4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41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 втором</w:t>
      </w:r>
    </w:p>
    <w:p w:rsidR="00D041CA" w:rsidRDefault="00D041CA" w:rsidP="00D041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1C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14650" cy="247650"/>
            <wp:effectExtent l="0" t="0" r="0" b="0"/>
            <wp:docPr id="13" name="Рисунок 13" descr="http://userdocs.ru/pars_docs/refs/62/61067/61067_html_m7c7efc7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userdocs.ru/pars_docs/refs/62/61067/61067_html_m7c7efc7e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4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41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графиках этим отклонениям соответствуют разные прямоугольники, так как при разных вариантах подстановки величина дополнительного прироста результативного показателя, равная прямоугольнику </w:t>
      </w:r>
      <w:r w:rsidRPr="00D041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ABCD,</w:t>
      </w:r>
      <w:r w:rsidRPr="00D041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относится в первом случае к величине влияния годовой выработки, а во –втором, к величине влияния количества рабочих. В результате этого величина влияния одного фактора преувеличивается, а другого - приуменьшается, что вызывает неоднозначность оценки влияния факторов, особенно в тех случаях, когда дополнительный прирост довольно существенный, как в нашем примере.</w:t>
      </w:r>
    </w:p>
    <w:p w:rsidR="00D041CA" w:rsidRDefault="00D041CA" w:rsidP="00D041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041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Чтобы избавиться от этого недостатка, в детерминированном факторном анализе используется</w:t>
      </w:r>
      <w:r w:rsidRPr="00D041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D041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интегральный метод, </w:t>
      </w:r>
      <w:r w:rsidRPr="00D041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который применяется для измерения влияния факторов в мультипликативных, кратных и смешанных моделях кратно-аддитивного вида</w:t>
      </w:r>
      <w:r w:rsidRPr="00D04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4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41C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23950" cy="190500"/>
            <wp:effectExtent l="0" t="0" r="0" b="0"/>
            <wp:docPr id="12" name="Рисунок 12" descr="http://userdocs.ru/pars_docs/refs/62/61067/61067_html_m65af16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userdocs.ru/pars_docs/refs/62/61067/61067_html_m65af1674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4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41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Использование этого способа позволяет получать более точные результаты расчета влияния факторов по сравнению со способами цепной подстановки, абсолютных и относительных разниц и избежать неоднозначной оценки влияния факторов потому, что в данном случае результаты не зависят от местоположения факторов в модели, а дополнительный прирост результативного показателя, который образовался от взаимодействия факторов, раскладывается между ними поровну.</w:t>
      </w:r>
    </w:p>
    <w:p w:rsidR="00D041CA" w:rsidRDefault="00D041CA" w:rsidP="00D041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041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первый взгляд может показаться, что для распределения дополнительного прироста достаточно взять его половину или часть, соответствующую количеству факторов. Но это сделать чаще всего сложно, так как факторы могут действовать в разных направлениях. Поэтому в интегральном методе пользуются определенными формулами. Приведем основные из них для разных моделей</w:t>
      </w:r>
    </w:p>
    <w:p w:rsidR="00D041CA" w:rsidRDefault="00D041CA" w:rsidP="00D041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1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D041C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67125" cy="638175"/>
            <wp:effectExtent l="0" t="0" r="9525" b="9525"/>
            <wp:docPr id="11" name="Рисунок 11" descr="http://userdocs.ru/pars_docs/refs/62/61067/61067_html_78a818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userdocs.ru/pars_docs/refs/62/61067/61067_html_78a8185e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4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041CA" w:rsidRDefault="00D041CA" w:rsidP="00D041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041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В нашем примере (см. табл. 6.1) расчет проводится следующим образом:</w:t>
      </w:r>
      <w:r w:rsidRPr="00D04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41C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76675" cy="2009775"/>
            <wp:effectExtent l="0" t="0" r="9525" b="9525"/>
            <wp:docPr id="10" name="Рисунок 10" descr="http://userdocs.ru/pars_docs/refs/62/61067/61067_html_m5f794ad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userdocs.ru/pars_docs/refs/62/61067/61067_html_m5f794ad2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4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4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41C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71925" cy="5572125"/>
            <wp:effectExtent l="0" t="0" r="9525" b="9525"/>
            <wp:docPr id="9" name="Рисунок 9" descr="http://userdocs.ru/pars_docs/refs/62/61067/61067_html_3f0e1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userdocs.ru/pars_docs/refs/62/61067/61067_html_3f0e1ef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557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4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041CA" w:rsidRDefault="00D041CA" w:rsidP="00D041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041CA" w:rsidRDefault="00D041CA" w:rsidP="00D041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041CA" w:rsidRDefault="00D041CA" w:rsidP="00D041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041CA" w:rsidRDefault="00D041CA" w:rsidP="00D041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041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Для расчета влияния факторов в кратных и смешанных моделях используются следующие рабочие формулы.</w:t>
      </w:r>
    </w:p>
    <w:p w:rsidR="00D041CA" w:rsidRDefault="00D041CA" w:rsidP="00D041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1C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86200" cy="2914650"/>
            <wp:effectExtent l="0" t="0" r="0" b="0"/>
            <wp:docPr id="8" name="Рисунок 8" descr="http://userdocs.ru/pars_docs/refs/62/61067/61067_html_60228fb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userdocs.ru/pars_docs/refs/62/61067/61067_html_60228fbc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4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41C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14750" cy="1266825"/>
            <wp:effectExtent l="0" t="0" r="0" b="9525"/>
            <wp:docPr id="7" name="Рисунок 7" descr="http://userdocs.ru/pars_docs/refs/62/61067/61067_html_e52c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userdocs.ru/pars_docs/refs/62/61067/61067_html_e52c56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4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41C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38600" cy="1714500"/>
            <wp:effectExtent l="0" t="0" r="0" b="0"/>
            <wp:docPr id="6" name="Рисунок 6" descr="http://userdocs.ru/pars_docs/refs/62/61067/61067_html_36a16d8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userdocs.ru/pars_docs/refs/62/61067/61067_html_36a16d8b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4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41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Таким образом, использование интегрального метода не требует знания всего процесса интегрирования. Достаточно в готовые рабочие формулы подставить необходимые числовые данные и сделать не очень сложные расчеты с помощью калькулятора или другой вычислительной техники. При этом достигается более высокая точность расчетов.</w:t>
      </w:r>
      <w:r w:rsidRPr="00D04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041CA" w:rsidRPr="00D041CA" w:rsidRDefault="00D041CA" w:rsidP="00D041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1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Способ логарифмирования в анализе хозяйственной деятельности</w:t>
      </w:r>
    </w:p>
    <w:p w:rsidR="00D041CA" w:rsidRDefault="00D041CA" w:rsidP="00D041C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D041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Сущность, сфера применения и отличительные черты способа логарифмирования. Алгоритмы расчета влияния факторов этим способом.</w:t>
      </w:r>
    </w:p>
    <w:p w:rsidR="00D041CA" w:rsidRDefault="00D041CA" w:rsidP="00D041C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041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Способ логарифмирования применяется для измерения влияния факторов в мультипликативных моделях. В данном случае результат расчета, как и при интегрировании, не зависит от месторасположения факторов в модели и по сравнению с интегральным </w:t>
      </w:r>
      <w:r w:rsidRPr="00D041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методом обеспечивается еще более высокая точность расчетов. Если при интегрировании дополнительный прирост от взаимодействия факторов распределяется поровну между ними, то с помощью логарифмирования результат совместного действия факторов распределяется пропорционально доли изолированного влияния каждого фактора на уровень результативного показателя. В этом его преимущество, а недостаток - в ограниченности сферы применения.</w:t>
      </w:r>
    </w:p>
    <w:p w:rsidR="00D041CA" w:rsidRDefault="00D041CA" w:rsidP="00D041C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041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отличие от интегрального метода при логарифмировании используются не абсолютные приросты показателей, а индексы их роста (снижения).</w:t>
      </w:r>
    </w:p>
    <w:p w:rsidR="00D041CA" w:rsidRDefault="00D041CA" w:rsidP="00D041C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041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Математически этот метод описывается следующим образом. Допустим, что результативный показатель можно представить в виде произведения трех факторов: </w:t>
      </w:r>
      <w:r w:rsidRPr="00D041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f</w:t>
      </w:r>
      <w:r w:rsidRPr="00D041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= </w:t>
      </w:r>
      <w:proofErr w:type="spellStart"/>
      <w:r w:rsidRPr="00D041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хуz</w:t>
      </w:r>
      <w:proofErr w:type="spellEnd"/>
      <w:r w:rsidRPr="00D041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.</w:t>
      </w:r>
      <w:r w:rsidRPr="00D041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Прологарифмировав обе части равенства, получим</w:t>
      </w:r>
    </w:p>
    <w:p w:rsidR="00D041CA" w:rsidRDefault="00D041CA" w:rsidP="00D041C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041C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76425" cy="266700"/>
            <wp:effectExtent l="0" t="0" r="9525" b="0"/>
            <wp:docPr id="5" name="Рисунок 5" descr="http://userdocs.ru/pars_docs/refs/62/61067/61067_html_752b51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userdocs.ru/pars_docs/refs/62/61067/61067_html_752b5185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4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41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Учитывая, что между индексами изменения показателей сохраняется та же зависимость, что и между самими показателями, произведем замену абсолютных их значений на </w:t>
      </w:r>
      <w:proofErr w:type="gramStart"/>
      <w:r w:rsidRPr="00D041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индексы:</w:t>
      </w:r>
      <w:r w:rsidRPr="00D04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4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41C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57675" cy="1752600"/>
            <wp:effectExtent l="0" t="0" r="9525" b="0"/>
            <wp:docPr id="4" name="Рисунок 4" descr="http://userdocs.ru/pars_docs/refs/62/61067/61067_html_48fab8d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userdocs.ru/pars_docs/refs/62/61067/61067_html_48fab8d9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4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4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41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</w:t>
      </w:r>
      <w:proofErr w:type="gramEnd"/>
      <w:r w:rsidRPr="00D041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формул вытекает, что общий прирост результативного показателя распределяется по факторам пропорционально отношениям логарифмов факторных индексов к логарифму индекса результативного показателя. И не имеет значения, какой логарифм используется - натуральный или десятичный.</w:t>
      </w:r>
    </w:p>
    <w:p w:rsidR="00D041CA" w:rsidRDefault="00D041CA" w:rsidP="00D041C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041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Используя данные табл. 6.1, вычислим прирост валовой продукции за счет численности рабочих </w:t>
      </w:r>
      <w:r w:rsidRPr="00D041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(ЧР),</w:t>
      </w:r>
      <w:r w:rsidRPr="00D041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количества отработанных дней одним рабочим за год </w:t>
      </w:r>
      <w:r w:rsidRPr="00D041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(Д)</w:t>
      </w:r>
      <w:r w:rsidRPr="00D041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и среднедневной выработки </w:t>
      </w:r>
      <w:r w:rsidRPr="00D041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(ДВ)</w:t>
      </w:r>
      <w:r w:rsidRPr="00D041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по факторной модели:</w:t>
      </w:r>
    </w:p>
    <w:p w:rsidR="00D041CA" w:rsidRDefault="00D041CA" w:rsidP="00D041C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041C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733675" cy="2800350"/>
            <wp:effectExtent l="0" t="0" r="9525" b="0"/>
            <wp:docPr id="3" name="Рисунок 3" descr="http://userdocs.ru/pars_docs/refs/62/61067/61067_html_7efd99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userdocs.ru/pars_docs/refs/62/61067/61067_html_7efd99ee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4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41C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76550" cy="400050"/>
            <wp:effectExtent l="0" t="0" r="0" b="0"/>
            <wp:docPr id="2" name="Рисунок 2" descr="http://userdocs.ru/pars_docs/refs/62/61067/61067_html_m4155999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userdocs.ru/pars_docs/refs/62/61067/61067_html_m4155999a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4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41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Сравнив полученные результаты расчета влияния факторов разными способами по данной факторной модели, можно убедиться в преимуществе способа логарифмирования. Это выражается в относительной простоте вычислений и повышении точности расчетов.</w:t>
      </w:r>
      <w:r w:rsidRPr="00D04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4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41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Рассмотрев основные приемы детерминированного факторного анализа и сферу их применения, результаты можно систематизировать в виде следующей матрицы:</w:t>
      </w:r>
    </w:p>
    <w:p w:rsidR="00D041CA" w:rsidRDefault="00D041CA" w:rsidP="00D041C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041C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48125" cy="2514600"/>
            <wp:effectExtent l="0" t="0" r="9525" b="0"/>
            <wp:docPr id="1" name="Рисунок 1" descr="http://userdocs.ru/pars_docs/refs/62/61067/61067_html_m2fc481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userdocs.ru/pars_docs/refs/62/61067/61067_html_m2fc48174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4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41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Знание сущности данных приемов, области их применения, процедуры расчетов - необходимое условие квалифицированного проведения количественных исследований.</w:t>
      </w:r>
    </w:p>
    <w:p w:rsidR="00D041CA" w:rsidRDefault="00D041CA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 w:type="page"/>
      </w:r>
    </w:p>
    <w:p w:rsidR="007175A5" w:rsidRPr="007175A5" w:rsidRDefault="00D041CA" w:rsidP="007175A5">
      <w:pPr>
        <w:spacing w:before="240" w:line="360" w:lineRule="auto"/>
        <w:ind w:firstLine="709"/>
        <w:jc w:val="center"/>
        <w:rPr>
          <w:rFonts w:ascii="Times New Roman" w:hAnsi="Times New Roman" w:cs="Times New Roman"/>
          <w:b/>
          <w:color w:val="353535"/>
          <w:sz w:val="24"/>
          <w:szCs w:val="24"/>
        </w:rPr>
      </w:pPr>
      <w:r w:rsidRPr="007175A5">
        <w:rPr>
          <w:rFonts w:ascii="Times New Roman" w:hAnsi="Times New Roman" w:cs="Times New Roman"/>
          <w:b/>
          <w:color w:val="353535"/>
          <w:sz w:val="24"/>
          <w:szCs w:val="24"/>
        </w:rPr>
        <w:lastRenderedPageBreak/>
        <w:t>Список литературы</w:t>
      </w:r>
    </w:p>
    <w:p w:rsidR="007175A5" w:rsidRPr="007175A5" w:rsidRDefault="00D041CA" w:rsidP="007175A5">
      <w:pPr>
        <w:pStyle w:val="a4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5A5">
        <w:rPr>
          <w:rFonts w:ascii="Times New Roman" w:hAnsi="Times New Roman" w:cs="Times New Roman"/>
          <w:color w:val="353535"/>
          <w:sz w:val="24"/>
          <w:szCs w:val="24"/>
        </w:rPr>
        <w:t xml:space="preserve">Баканов М.И., </w:t>
      </w:r>
      <w:proofErr w:type="spellStart"/>
      <w:r w:rsidRPr="007175A5">
        <w:rPr>
          <w:rFonts w:ascii="Times New Roman" w:hAnsi="Times New Roman" w:cs="Times New Roman"/>
          <w:color w:val="353535"/>
          <w:sz w:val="24"/>
          <w:szCs w:val="24"/>
        </w:rPr>
        <w:t>Шеремет</w:t>
      </w:r>
      <w:proofErr w:type="spellEnd"/>
      <w:r w:rsidRPr="007175A5">
        <w:rPr>
          <w:rFonts w:ascii="Times New Roman" w:hAnsi="Times New Roman" w:cs="Times New Roman"/>
          <w:color w:val="353535"/>
          <w:sz w:val="24"/>
          <w:szCs w:val="24"/>
        </w:rPr>
        <w:t xml:space="preserve"> А.Д., Теория экономического анализа. - М.: Финансы и статистика, 20</w:t>
      </w:r>
      <w:r w:rsidR="007175A5">
        <w:rPr>
          <w:rFonts w:ascii="Times New Roman" w:hAnsi="Times New Roman" w:cs="Times New Roman"/>
          <w:color w:val="353535"/>
          <w:sz w:val="24"/>
          <w:szCs w:val="24"/>
        </w:rPr>
        <w:t>16</w:t>
      </w:r>
      <w:r w:rsidRPr="007175A5">
        <w:rPr>
          <w:rFonts w:ascii="Times New Roman" w:hAnsi="Times New Roman" w:cs="Times New Roman"/>
          <w:color w:val="353535"/>
          <w:sz w:val="24"/>
          <w:szCs w:val="24"/>
        </w:rPr>
        <w:t xml:space="preserve">. </w:t>
      </w:r>
    </w:p>
    <w:p w:rsidR="007175A5" w:rsidRPr="007175A5" w:rsidRDefault="00D041CA" w:rsidP="007175A5">
      <w:pPr>
        <w:pStyle w:val="a4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5A5">
        <w:rPr>
          <w:rFonts w:ascii="Times New Roman" w:hAnsi="Times New Roman" w:cs="Times New Roman"/>
          <w:color w:val="353535"/>
          <w:sz w:val="24"/>
          <w:szCs w:val="24"/>
        </w:rPr>
        <w:t>Савицкая Г.В. Анализ хозяйственной деятельности предприятия: Учебное пособие. - Мн.: ИП "</w:t>
      </w:r>
      <w:proofErr w:type="spellStart"/>
      <w:r w:rsidRPr="007175A5">
        <w:rPr>
          <w:rFonts w:ascii="Times New Roman" w:hAnsi="Times New Roman" w:cs="Times New Roman"/>
          <w:color w:val="353535"/>
          <w:sz w:val="24"/>
          <w:szCs w:val="24"/>
        </w:rPr>
        <w:t>Экоперспектива</w:t>
      </w:r>
      <w:proofErr w:type="spellEnd"/>
      <w:r w:rsidRPr="007175A5">
        <w:rPr>
          <w:rFonts w:ascii="Times New Roman" w:hAnsi="Times New Roman" w:cs="Times New Roman"/>
          <w:color w:val="353535"/>
          <w:sz w:val="24"/>
          <w:szCs w:val="24"/>
        </w:rPr>
        <w:t>", 20</w:t>
      </w:r>
      <w:r w:rsidR="007175A5">
        <w:rPr>
          <w:rFonts w:ascii="Times New Roman" w:hAnsi="Times New Roman" w:cs="Times New Roman"/>
          <w:color w:val="353535"/>
          <w:sz w:val="24"/>
          <w:szCs w:val="24"/>
        </w:rPr>
        <w:t>17</w:t>
      </w:r>
      <w:r w:rsidRPr="007175A5">
        <w:rPr>
          <w:rFonts w:ascii="Times New Roman" w:hAnsi="Times New Roman" w:cs="Times New Roman"/>
          <w:color w:val="353535"/>
          <w:sz w:val="24"/>
          <w:szCs w:val="24"/>
        </w:rPr>
        <w:t xml:space="preserve">. - 498 с. </w:t>
      </w:r>
    </w:p>
    <w:p w:rsidR="007175A5" w:rsidRPr="007175A5" w:rsidRDefault="00D041CA" w:rsidP="007175A5">
      <w:pPr>
        <w:pStyle w:val="a4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5A5">
        <w:rPr>
          <w:rFonts w:ascii="Times New Roman" w:hAnsi="Times New Roman" w:cs="Times New Roman"/>
          <w:color w:val="353535"/>
          <w:sz w:val="24"/>
          <w:szCs w:val="24"/>
        </w:rPr>
        <w:t xml:space="preserve">Методика экономического анализа промышленного предприятия (объединения) / Под ред. А.И. </w:t>
      </w:r>
      <w:proofErr w:type="spellStart"/>
      <w:r w:rsidRPr="007175A5">
        <w:rPr>
          <w:rFonts w:ascii="Times New Roman" w:hAnsi="Times New Roman" w:cs="Times New Roman"/>
          <w:color w:val="353535"/>
          <w:sz w:val="24"/>
          <w:szCs w:val="24"/>
        </w:rPr>
        <w:t>Бужинского</w:t>
      </w:r>
      <w:proofErr w:type="spellEnd"/>
      <w:r w:rsidRPr="007175A5">
        <w:rPr>
          <w:rFonts w:ascii="Times New Roman" w:hAnsi="Times New Roman" w:cs="Times New Roman"/>
          <w:color w:val="353535"/>
          <w:sz w:val="24"/>
          <w:szCs w:val="24"/>
        </w:rPr>
        <w:t xml:space="preserve">, А.Д. </w:t>
      </w:r>
      <w:proofErr w:type="spellStart"/>
      <w:r w:rsidRPr="007175A5">
        <w:rPr>
          <w:rFonts w:ascii="Times New Roman" w:hAnsi="Times New Roman" w:cs="Times New Roman"/>
          <w:color w:val="353535"/>
          <w:sz w:val="24"/>
          <w:szCs w:val="24"/>
        </w:rPr>
        <w:t>Шеремета</w:t>
      </w:r>
      <w:proofErr w:type="spellEnd"/>
      <w:r w:rsidRPr="007175A5">
        <w:rPr>
          <w:rFonts w:ascii="Times New Roman" w:hAnsi="Times New Roman" w:cs="Times New Roman"/>
          <w:color w:val="353535"/>
          <w:sz w:val="24"/>
          <w:szCs w:val="24"/>
        </w:rPr>
        <w:t xml:space="preserve">. - М.: Финансы и статистика, </w:t>
      </w:r>
      <w:r w:rsidR="007175A5">
        <w:rPr>
          <w:rFonts w:ascii="Times New Roman" w:hAnsi="Times New Roman" w:cs="Times New Roman"/>
          <w:color w:val="353535"/>
          <w:sz w:val="24"/>
          <w:szCs w:val="24"/>
        </w:rPr>
        <w:t>2017</w:t>
      </w:r>
    </w:p>
    <w:p w:rsidR="00413AAD" w:rsidRPr="007175A5" w:rsidRDefault="00D041CA" w:rsidP="007175A5">
      <w:pPr>
        <w:pStyle w:val="a4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5A5">
        <w:rPr>
          <w:rFonts w:ascii="Times New Roman" w:hAnsi="Times New Roman" w:cs="Times New Roman"/>
          <w:color w:val="353535"/>
          <w:sz w:val="24"/>
          <w:szCs w:val="24"/>
        </w:rPr>
        <w:t xml:space="preserve"> Муравьева А.И. Теория экономического анализа. - М.: Финансы и статистика, </w:t>
      </w:r>
      <w:r w:rsidR="007175A5">
        <w:rPr>
          <w:rFonts w:ascii="Times New Roman" w:hAnsi="Times New Roman" w:cs="Times New Roman"/>
          <w:color w:val="353535"/>
          <w:sz w:val="24"/>
          <w:szCs w:val="24"/>
        </w:rPr>
        <w:t>2016</w:t>
      </w:r>
      <w:bookmarkStart w:id="0" w:name="_GoBack"/>
      <w:bookmarkEnd w:id="0"/>
      <w:r w:rsidRPr="007175A5">
        <w:rPr>
          <w:rFonts w:ascii="Times New Roman" w:hAnsi="Times New Roman" w:cs="Times New Roman"/>
          <w:color w:val="353535"/>
          <w:sz w:val="24"/>
          <w:szCs w:val="24"/>
        </w:rPr>
        <w:t>.</w:t>
      </w:r>
      <w:r w:rsidRPr="007175A5">
        <w:rPr>
          <w:rFonts w:ascii="Times New Roman" w:hAnsi="Times New Roman" w:cs="Times New Roman"/>
          <w:color w:val="353535"/>
          <w:sz w:val="24"/>
          <w:szCs w:val="24"/>
        </w:rPr>
        <w:br/>
      </w:r>
      <w:r w:rsidRPr="007175A5">
        <w:rPr>
          <w:rFonts w:ascii="Times New Roman" w:hAnsi="Times New Roman" w:cs="Times New Roman"/>
          <w:color w:val="353535"/>
          <w:sz w:val="24"/>
          <w:szCs w:val="24"/>
        </w:rPr>
        <w:br/>
      </w:r>
    </w:p>
    <w:sectPr w:rsidR="00413AAD" w:rsidRPr="007175A5" w:rsidSect="00D041CA">
      <w:pgSz w:w="11906" w:h="16838"/>
      <w:pgMar w:top="851" w:right="849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7370EA"/>
    <w:multiLevelType w:val="hybridMultilevel"/>
    <w:tmpl w:val="DB34D5D6"/>
    <w:lvl w:ilvl="0" w:tplc="CC72A82A">
      <w:start w:val="1"/>
      <w:numFmt w:val="decimal"/>
      <w:lvlText w:val="%1."/>
      <w:lvlJc w:val="left"/>
      <w:pPr>
        <w:ind w:left="1069" w:hanging="360"/>
      </w:pPr>
      <w:rPr>
        <w:rFonts w:hint="default"/>
        <w:color w:val="353535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135"/>
    <w:rsid w:val="00413AAD"/>
    <w:rsid w:val="00584135"/>
    <w:rsid w:val="007175A5"/>
    <w:rsid w:val="00D0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6BEDF-1B5E-4398-9271-1B7432FE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041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041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ubmenu-table">
    <w:name w:val="submenu-table"/>
    <w:basedOn w:val="a0"/>
    <w:rsid w:val="00D041CA"/>
  </w:style>
  <w:style w:type="character" w:customStyle="1" w:styleId="butback">
    <w:name w:val="butback"/>
    <w:basedOn w:val="a0"/>
    <w:rsid w:val="00D041CA"/>
  </w:style>
  <w:style w:type="character" w:styleId="a3">
    <w:name w:val="Hyperlink"/>
    <w:basedOn w:val="a0"/>
    <w:uiPriority w:val="99"/>
    <w:semiHidden/>
    <w:unhideWhenUsed/>
    <w:rsid w:val="00D041C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17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5" Type="http://schemas.openxmlformats.org/officeDocument/2006/relationships/image" Target="media/image1.gif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gif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1523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2020-04-08T09:43:00Z</dcterms:created>
  <dcterms:modified xsi:type="dcterms:W3CDTF">2020-04-08T10:03:00Z</dcterms:modified>
</cp:coreProperties>
</file>