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ind w:left="260" w:right="160"/>
        <w:spacing w:after="0" w:line="26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Отличительной чертой стратегии транснациональной диверсификации является большое количество предприятий в портфеле и большое количество охваченных национальных рынков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 этом случае руководство корпорации должно разрабатывать и внедрять значительное число различных стратегических подходов </w:t>
      </w:r>
      <w:r>
        <w:rPr>
          <w:rFonts w:ascii="Calibri" w:cs="Calibri" w:eastAsia="Calibri" w:hAnsi="Calibri"/>
          <w:sz w:val="22"/>
          <w:szCs w:val="22"/>
          <w:color w:val="auto"/>
        </w:rPr>
        <w:t>—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по крайней мере по одному на каждую отрасль с возможными вариациями в зависимости от конкретной страны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65" w:lineRule="exact"/>
        <w:rPr>
          <w:sz w:val="24"/>
          <w:szCs w:val="24"/>
          <w:color w:val="auto"/>
        </w:rPr>
      </w:pPr>
    </w:p>
    <w:p>
      <w:pPr>
        <w:ind w:left="260"/>
        <w:spacing w:after="0" w:line="264" w:lineRule="auto"/>
        <w:tabs>
          <w:tab w:leader="none" w:pos="428" w:val="left"/>
        </w:tabs>
        <w:numPr>
          <w:ilvl w:val="0"/>
          <w:numId w:val="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то же время менеджеры диверсифицированных транснациональных корпораций должны уметь находить удачные решения для координации стратегических мероприятий фирм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относящихся к разным отраслям и находящихся в разных странах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Целью стратегической координации является максимальное использование ресурсов и возможностей корпорации для обеспечения стабильных конкурентных преимуществ в каждой сфере деятельности и на каждом национальном рынке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66" w:lineRule="exact"/>
        <w:rPr>
          <w:sz w:val="24"/>
          <w:szCs w:val="24"/>
          <w:color w:val="auto"/>
        </w:rPr>
      </w:pPr>
    </w:p>
    <w:p>
      <w:pPr>
        <w:ind w:left="260"/>
        <w:spacing w:after="0" w:line="23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История транснациональной диверсификации До начала </w:t>
      </w:r>
      <w:r>
        <w:rPr>
          <w:rFonts w:ascii="Calibri" w:cs="Calibri" w:eastAsia="Calibri" w:hAnsi="Calibri"/>
          <w:sz w:val="22"/>
          <w:szCs w:val="22"/>
          <w:color w:val="auto"/>
        </w:rPr>
        <w:t>1960-</w:t>
      </w:r>
      <w:r>
        <w:rPr>
          <w:rFonts w:ascii="Calibri" w:cs="Calibri" w:eastAsia="Calibri" w:hAnsi="Calibri"/>
          <w:sz w:val="22"/>
          <w:szCs w:val="22"/>
          <w:color w:val="auto"/>
        </w:rPr>
        <w:t>х гг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транснациональные корпорации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>ТНК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существовали в виде ряда совершенно самостоятельных дочерних предприятий</w:t>
      </w:r>
    </w:p>
    <w:p>
      <w:pPr>
        <w:spacing w:after="0" w:line="93" w:lineRule="exact"/>
        <w:rPr>
          <w:sz w:val="24"/>
          <w:szCs w:val="24"/>
          <w:color w:val="auto"/>
        </w:rPr>
      </w:pPr>
    </w:p>
    <w:p>
      <w:pPr>
        <w:ind w:left="260" w:right="40"/>
        <w:spacing w:after="0" w:line="274" w:lineRule="auto"/>
        <w:tabs>
          <w:tab w:leader="none" w:pos="414" w:val="left"/>
        </w:tabs>
        <w:numPr>
          <w:ilvl w:val="0"/>
          <w:numId w:val="2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различных странах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и от каждого такого предприятия требовалось лишь соответствовать специфическим условиям собственного национального законодательства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Задача руководства корпорации сводилась в основном к осуществлению финансирования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обмену технологиями между предприятиями и координации экспорта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 условиях стратегии национальной ответственности конкурентные преимущества корпорации базировались прежде всего на возможности передачи технологии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ноу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хау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торговой марки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маркетингового и управленческого опыта из страны в страну с меньшими затратами по сравнению с расходами внутренних национальных конкурентов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Стандартизированные административные процедуры позволяли минимизировать накладные расходы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и в случае успешного функционирования головной организации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занимающейся управлением заграничными филиалами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проникновение на новые национальные рынки происходило с меньшими дополнительными затратами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Зачастую создание ТНК и ее место на национальном рынке определялось в ходе переговоров с правительством этой страны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 не в результате международной конкуренции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>Тем не менее транснациональная стратегия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основанная на национальной ответственности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начала в </w:t>
      </w:r>
      <w:r>
        <w:rPr>
          <w:rFonts w:ascii="Calibri" w:cs="Calibri" w:eastAsia="Calibri" w:hAnsi="Calibri"/>
          <w:sz w:val="22"/>
          <w:szCs w:val="22"/>
          <w:color w:val="auto"/>
        </w:rPr>
        <w:t>1970-</w:t>
      </w:r>
      <w:r>
        <w:rPr>
          <w:rFonts w:ascii="Calibri" w:cs="Calibri" w:eastAsia="Calibri" w:hAnsi="Calibri"/>
          <w:sz w:val="22"/>
          <w:szCs w:val="22"/>
          <w:color w:val="auto"/>
        </w:rPr>
        <w:t>х гг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утрачивать свою эффективность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Конкуренция начала проявляться на мировом уровне во все больших и больших отраслях по мере того как японские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европейские и американские компании расширялись в другие страны на волне либерализации торговли и открытия новых рыночных возможностей как в промышленно развитых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так и в развивающихся странах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Во многих отраслях основная борьба переместилась с национального на мировой уровень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поскольку стратегия главных транснациональных конкурентов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и прежде всего японских корпораций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заключалась в том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что укрепление позиций на национальных рынках происходило путем продвижения на них товаров с лучшими качественными характеристиками по сравнению с местными производителями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 также за счет ценового демпинга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Вместо производства всего ассортимента продукции в каждой стране предприятия транснациональных корпораций начали специализироваться на осуществлении отдельных производственных операций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Дочерние компании стали получать требующиеся им комплектующие от предприятий в других странах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Ремонт электрооборудования</w:t>
      </w:r>
    </w:p>
    <w:p>
      <w:pPr>
        <w:spacing w:after="0" w:line="240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Спрей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дозатор для масла в ТутПросто</w:t>
      </w:r>
      <w:r>
        <w:rPr>
          <w:rFonts w:ascii="Calibri" w:cs="Calibri" w:eastAsia="Calibri" w:hAnsi="Calibri"/>
          <w:sz w:val="22"/>
          <w:szCs w:val="22"/>
          <w:color w:val="auto"/>
        </w:rPr>
        <w:t>!</w:t>
      </w: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ind w:left="260" w:right="520"/>
        <w:spacing w:after="0" w:line="27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Рост производительности за счет кооперации и специализации более чем компенсировал возросшие тарифы на грузовые международные перевозки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особенно с учетом других преимуществ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достигаемых с помощью транснациональной стратегии</w:t>
      </w:r>
      <w:r>
        <w:rPr>
          <w:rFonts w:ascii="Calibri" w:cs="Calibri" w:eastAsia="Calibri" w:hAnsi="Calibri"/>
          <w:sz w:val="21"/>
          <w:szCs w:val="21"/>
          <w:color w:val="auto"/>
        </w:rPr>
        <w:t>.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Использование этой стратегии позволило ТНК размещать заводы в странах с дешевой рабочей силой </w:t>
      </w:r>
      <w:r>
        <w:rPr>
          <w:rFonts w:ascii="Calibri" w:cs="Calibri" w:eastAsia="Calibri" w:hAnsi="Calibri"/>
          <w:sz w:val="21"/>
          <w:szCs w:val="21"/>
          <w:color w:val="auto"/>
        </w:rPr>
        <w:t>—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ключевой</w:t>
      </w:r>
    </w:p>
    <w:p>
      <w:pPr>
        <w:sectPr>
          <w:pgSz w:w="11900" w:h="16838" w:orient="portrait"/>
          <w:cols w:equalWidth="0" w:num="1">
            <w:col w:w="9600"/>
          </w:cols>
          <w:pgMar w:left="1440" w:top="1178" w:right="864" w:bottom="554" w:gutter="0" w:footer="0" w:header="0"/>
        </w:sectPr>
      </w:pPr>
    </w:p>
    <w:p>
      <w:pPr>
        <w:ind w:left="260"/>
        <w:spacing w:after="0" w:line="27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аргумент для отраслей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чья продукция характеризуется высокой долей трудовых затрат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Ее применение дало им также возможность воспользоваться различиями в ставках налогов в различных странах путем установления промежуточных цен для получения максимальных прибылей в странах с низкими ставками и снижения налогооблагаемой прибыли в странах с высокими налоговыми ставками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Транснациональная стратегия расширила для ТНК возможности получения преимуществ в связи с различиями в процентных ставках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валютных курсах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условиях получения кредитов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правительственных субсидий и экспортных гарантий в разных странах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Как следствие таких преимуществ компании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производящие и реализующие свою продукцию только в одной стране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оказались не в состоянии успешно существовать в отраслях с высокой долей транснациональных конкурентов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нацеленных на получение господства в мировом масштабе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В </w:t>
      </w:r>
      <w:r>
        <w:rPr>
          <w:rFonts w:ascii="Calibri" w:cs="Calibri" w:eastAsia="Calibri" w:hAnsi="Calibri"/>
          <w:sz w:val="22"/>
          <w:szCs w:val="22"/>
          <w:color w:val="auto"/>
        </w:rPr>
        <w:t>1980-</w:t>
      </w:r>
      <w:r>
        <w:rPr>
          <w:rFonts w:ascii="Calibri" w:cs="Calibri" w:eastAsia="Calibri" w:hAnsi="Calibri"/>
          <w:sz w:val="22"/>
          <w:szCs w:val="22"/>
          <w:color w:val="auto"/>
        </w:rPr>
        <w:t>х гг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. </w:t>
      </w:r>
      <w:r>
        <w:rPr>
          <w:rFonts w:ascii="Calibri" w:cs="Calibri" w:eastAsia="Calibri" w:hAnsi="Calibri"/>
          <w:sz w:val="22"/>
          <w:szCs w:val="22"/>
          <w:color w:val="auto"/>
        </w:rPr>
        <w:t>начал появляться другой источник конкурентных преимуществ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: </w:t>
      </w:r>
      <w:r>
        <w:rPr>
          <w:rFonts w:ascii="Calibri" w:cs="Calibri" w:eastAsia="Calibri" w:hAnsi="Calibri"/>
          <w:sz w:val="22"/>
          <w:szCs w:val="22"/>
          <w:color w:val="auto"/>
        </w:rPr>
        <w:t>использование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</w:t>
      </w:r>
      <w:r>
        <w:rPr>
          <w:rFonts w:ascii="Calibri" w:cs="Calibri" w:eastAsia="Calibri" w:hAnsi="Calibri"/>
          <w:sz w:val="22"/>
          <w:szCs w:val="22"/>
          <w:color w:val="auto"/>
        </w:rPr>
        <w:t>стратегических выгод от диверсификации в связанные отрасли для получения сильных конкурентных позиций сразу в нескольких связанных между собой отраслях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Диверсифицированные ТНК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>ДТНК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оказались еще более совершенной организационной формой по</w:t>
      </w:r>
    </w:p>
    <w:p>
      <w:pPr>
        <w:spacing w:after="0" w:line="253" w:lineRule="exact"/>
        <w:rPr>
          <w:sz w:val="20"/>
          <w:szCs w:val="20"/>
          <w:color w:val="auto"/>
        </w:rPr>
      </w:pPr>
    </w:p>
    <w:p>
      <w:pPr>
        <w:ind w:left="260" w:right="60"/>
        <w:spacing w:after="0" w:line="270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Транснациональная корпорация может получить дополнительные конкурентные преимущества в результате глобальной диверсификации в отрасли со сходными технологиями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>сравнению с одноотраслевыми ТНК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Связанная диверсификация наиболее приемлема для получения конкурентных преимуществ транснациональной компанией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чей технологический опыт может быть применен в других отраслях и возможно получение существенной экономии на масштабах производства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 также получение выгод от использования единой торговой марки в рамках связанных отраслей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Иллюстрация </w:t>
      </w:r>
      <w:r>
        <w:rPr>
          <w:rFonts w:ascii="Calibri" w:cs="Calibri" w:eastAsia="Calibri" w:hAnsi="Calibri"/>
          <w:sz w:val="22"/>
          <w:szCs w:val="22"/>
          <w:color w:val="auto"/>
        </w:rPr>
        <w:t>7.3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демонстрирует возможности компании </w:t>
      </w:r>
      <w:r>
        <w:rPr>
          <w:rFonts w:ascii="Calibri" w:cs="Calibri" w:eastAsia="Calibri" w:hAnsi="Calibri"/>
          <w:sz w:val="22"/>
          <w:szCs w:val="22"/>
          <w:color w:val="auto"/>
        </w:rPr>
        <w:t>Honda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применять накопленный в производстве двигателей опыт и использовать широко известную товарную марку при диверсификации в другие отрасли по производству изделий с двигателями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Источники конкурентных преимуществ ДТНК</w:t>
      </w: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ind w:left="260"/>
        <w:spacing w:after="0" w:line="28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Транснациональная корпорация может также получить преимущества от диверсификации в развитые отрасли с родственным технологическим процессом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если в результате этого она сможет достичь экономии на масштабе производства и получить выгоды от использования единой торговой марки</w:t>
      </w:r>
      <w:r>
        <w:rPr>
          <w:rFonts w:ascii="Calibri" w:cs="Calibri" w:eastAsia="Calibri" w:hAnsi="Calibri"/>
          <w:sz w:val="21"/>
          <w:szCs w:val="21"/>
          <w:color w:val="auto"/>
        </w:rPr>
        <w:t>.</w:t>
      </w:r>
      <w:r>
        <w:rPr>
          <w:rFonts w:ascii="Calibri" w:cs="Calibri" w:eastAsia="Calibri" w:hAnsi="Calibri"/>
          <w:sz w:val="21"/>
          <w:szCs w:val="21"/>
          <w:color w:val="auto"/>
        </w:rPr>
        <w:t>Когда транснациональная компания накопила значительный технологический опыт и диверсифицировалась в связанные отрасли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централизованное финансирование НИОКР несет большой потенциал для получения конкурентных преимуществ</w:t>
      </w:r>
      <w:r>
        <w:rPr>
          <w:rFonts w:ascii="Calibri" w:cs="Calibri" w:eastAsia="Calibri" w:hAnsi="Calibri"/>
          <w:sz w:val="21"/>
          <w:szCs w:val="21"/>
          <w:color w:val="auto"/>
        </w:rPr>
        <w:t>.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Скоординированное вложение средств корпорации в научно</w:t>
      </w:r>
      <w:r>
        <w:rPr>
          <w:rFonts w:ascii="Calibri" w:cs="Calibri" w:eastAsia="Calibri" w:hAnsi="Calibri"/>
          <w:sz w:val="21"/>
          <w:szCs w:val="21"/>
          <w:color w:val="auto"/>
        </w:rPr>
        <w:t>-</w:t>
      </w:r>
      <w:r>
        <w:rPr>
          <w:rFonts w:ascii="Calibri" w:cs="Calibri" w:eastAsia="Calibri" w:hAnsi="Calibri"/>
          <w:sz w:val="21"/>
          <w:szCs w:val="21"/>
          <w:color w:val="auto"/>
        </w:rPr>
        <w:t>технические и опытно</w:t>
      </w:r>
      <w:r>
        <w:rPr>
          <w:rFonts w:ascii="Calibri" w:cs="Calibri" w:eastAsia="Calibri" w:hAnsi="Calibri"/>
          <w:sz w:val="21"/>
          <w:szCs w:val="21"/>
          <w:color w:val="auto"/>
        </w:rPr>
        <w:t>-</w:t>
      </w:r>
      <w:r>
        <w:rPr>
          <w:rFonts w:ascii="Calibri" w:cs="Calibri" w:eastAsia="Calibri" w:hAnsi="Calibri"/>
          <w:sz w:val="21"/>
          <w:szCs w:val="21"/>
          <w:color w:val="auto"/>
        </w:rPr>
        <w:t>конструкторские разработки в отличие от их проведения за счет собственных ресурсов отдельных предприятий позволяет ДТНК начать глобальный и повсеместный прорыв в развитии применяемых технологий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получить существенную экономию в отдельных звеньях производственной цепочки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значительно улучшить качество выпускаемой продукции и расширить ее ассортимент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т</w:t>
      </w:r>
      <w:r>
        <w:rPr>
          <w:rFonts w:ascii="Calibri" w:cs="Calibri" w:eastAsia="Calibri" w:hAnsi="Calibri"/>
          <w:sz w:val="21"/>
          <w:szCs w:val="21"/>
          <w:color w:val="auto"/>
        </w:rPr>
        <w:t>.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е</w:t>
      </w:r>
      <w:r>
        <w:rPr>
          <w:rFonts w:ascii="Calibri" w:cs="Calibri" w:eastAsia="Calibri" w:hAnsi="Calibri"/>
          <w:sz w:val="21"/>
          <w:szCs w:val="21"/>
          <w:color w:val="auto"/>
        </w:rPr>
        <w:t>.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получить все наиболее значимые в условиях глобальной конкуренции выгоды</w:t>
      </w:r>
      <w:r>
        <w:rPr>
          <w:rFonts w:ascii="Calibri" w:cs="Calibri" w:eastAsia="Calibri" w:hAnsi="Calibri"/>
          <w:sz w:val="21"/>
          <w:szCs w:val="21"/>
          <w:color w:val="auto"/>
        </w:rPr>
        <w:t>.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При отсутствии та</w:t>
      </w:r>
      <w:r>
        <w:rPr>
          <w:rFonts w:ascii="Calibri" w:cs="Calibri" w:eastAsia="Calibri" w:hAnsi="Calibri"/>
          <w:sz w:val="21"/>
          <w:szCs w:val="21"/>
          <w:color w:val="auto"/>
        </w:rPr>
        <w:t>-</w:t>
      </w:r>
    </w:p>
    <w:p>
      <w:pPr>
        <w:spacing w:after="0" w:line="19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КОНКУРЕНТНЫЕ ПРЕИМУЩЕСТВА КОМПАНИИ </w:t>
      </w:r>
      <w:r>
        <w:rPr>
          <w:rFonts w:ascii="Calibri" w:cs="Calibri" w:eastAsia="Calibri" w:hAnsi="Calibri"/>
          <w:sz w:val="22"/>
          <w:szCs w:val="22"/>
          <w:color w:val="auto"/>
        </w:rPr>
        <w:t>HONDA</w:t>
      </w:r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ПРОИЗВОДСТВО ДВИГАТЕЛЕЙ</w:t>
      </w: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ind w:left="260" w:right="280"/>
        <w:spacing w:after="0" w:line="270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 xml:space="preserve">На первый взгляд ассортимент выпускаемой компанией </w:t>
      </w:r>
      <w:r>
        <w:rPr>
          <w:rFonts w:ascii="Calibri" w:cs="Calibri" w:eastAsia="Calibri" w:hAnsi="Calibri"/>
          <w:sz w:val="21"/>
          <w:szCs w:val="21"/>
          <w:color w:val="auto"/>
        </w:rPr>
        <w:t>Honda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продукции </w:t>
      </w:r>
      <w:r>
        <w:rPr>
          <w:rFonts w:ascii="Calibri" w:cs="Calibri" w:eastAsia="Calibri" w:hAnsi="Calibri"/>
          <w:sz w:val="21"/>
          <w:szCs w:val="21"/>
          <w:color w:val="auto"/>
        </w:rPr>
        <w:t>—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автомобили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мотоциклы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газонокосилки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энергогенераторы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лодочные моторы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снегоходы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снегоочистители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садовые культиваторы </w:t>
      </w:r>
      <w:r>
        <w:rPr>
          <w:rFonts w:ascii="Calibri" w:cs="Calibri" w:eastAsia="Calibri" w:hAnsi="Calibri"/>
          <w:sz w:val="21"/>
          <w:szCs w:val="21"/>
          <w:color w:val="auto"/>
        </w:rPr>
        <w:t>—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свидетельствует о применении корпорацией диверсификации в</w:t>
      </w:r>
    </w:p>
    <w:p>
      <w:pPr>
        <w:sectPr>
          <w:pgSz w:w="11900" w:h="16838" w:orient="portrait"/>
          <w:cols w:equalWidth="0" w:num="1">
            <w:col w:w="9580"/>
          </w:cols>
          <w:pgMar w:left="1440" w:top="1178" w:right="884" w:bottom="978" w:gutter="0" w:footer="0" w:header="0"/>
        </w:sectPr>
      </w:pPr>
    </w:p>
    <w:p>
      <w:pPr>
        <w:ind w:left="260" w:right="420"/>
        <w:spacing w:after="0" w:line="23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несвязанные отрасли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Но в основе всего многообразия различных изделий лежит одна общая отличительная черта </w:t>
      </w:r>
      <w:r>
        <w:rPr>
          <w:rFonts w:ascii="Calibri" w:cs="Calibri" w:eastAsia="Calibri" w:hAnsi="Calibri"/>
          <w:sz w:val="22"/>
          <w:szCs w:val="22"/>
          <w:color w:val="auto"/>
        </w:rPr>
        <w:t>—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технология производства двигателей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4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Лодочные моторы</w:t>
      </w: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ind w:left="260" w:right="140"/>
        <w:spacing w:after="0" w:line="26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Основной стратегической особенностью компании </w:t>
      </w:r>
      <w:r>
        <w:rPr>
          <w:rFonts w:ascii="Calibri" w:cs="Calibri" w:eastAsia="Calibri" w:hAnsi="Calibri"/>
          <w:sz w:val="22"/>
          <w:szCs w:val="22"/>
          <w:color w:val="auto"/>
        </w:rPr>
        <w:t>Honda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является использование накопленного ею опыта разработки и производства двигателей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 также извлечение выгоды из использования известной торговой марки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Один из рекламных роликов компании начинается с вопроса к покупателям</w:t>
      </w:r>
      <w:r>
        <w:rPr>
          <w:rFonts w:ascii="Calibri" w:cs="Calibri" w:eastAsia="Calibri" w:hAnsi="Calibri"/>
          <w:sz w:val="22"/>
          <w:szCs w:val="22"/>
          <w:color w:val="auto"/>
        </w:rPr>
        <w:t>: "</w:t>
      </w:r>
      <w:r>
        <w:rPr>
          <w:rFonts w:ascii="Calibri" w:cs="Calibri" w:eastAsia="Calibri" w:hAnsi="Calibri"/>
          <w:sz w:val="22"/>
          <w:szCs w:val="22"/>
          <w:color w:val="auto"/>
        </w:rPr>
        <w:t>Как бы вы смогли разместить шесть хонд в гараже на два автомобиля</w:t>
      </w:r>
      <w:r>
        <w:rPr>
          <w:rFonts w:ascii="Calibri" w:cs="Calibri" w:eastAsia="Calibri" w:hAnsi="Calibri"/>
          <w:sz w:val="22"/>
          <w:szCs w:val="22"/>
          <w:color w:val="auto"/>
        </w:rPr>
        <w:t>?"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И в качестве ответа появляется гараж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 котором расположены автомобиль </w:t>
      </w:r>
      <w:r>
        <w:rPr>
          <w:rFonts w:ascii="Calibri" w:cs="Calibri" w:eastAsia="Calibri" w:hAnsi="Calibri"/>
          <w:sz w:val="22"/>
          <w:szCs w:val="22"/>
          <w:color w:val="auto"/>
        </w:rPr>
        <w:t>Honda,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мотоцикл </w:t>
      </w:r>
      <w:r>
        <w:rPr>
          <w:rFonts w:ascii="Calibri" w:cs="Calibri" w:eastAsia="Calibri" w:hAnsi="Calibri"/>
          <w:sz w:val="22"/>
          <w:szCs w:val="22"/>
          <w:color w:val="auto"/>
        </w:rPr>
        <w:t>Honda,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снегоход </w:t>
      </w:r>
      <w:r>
        <w:rPr>
          <w:rFonts w:ascii="Calibri" w:cs="Calibri" w:eastAsia="Calibri" w:hAnsi="Calibri"/>
          <w:sz w:val="22"/>
          <w:szCs w:val="22"/>
          <w:color w:val="auto"/>
        </w:rPr>
        <w:t>Honda,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газонокосилка </w:t>
      </w:r>
      <w:r>
        <w:rPr>
          <w:rFonts w:ascii="Calibri" w:cs="Calibri" w:eastAsia="Calibri" w:hAnsi="Calibri"/>
          <w:sz w:val="22"/>
          <w:szCs w:val="22"/>
          <w:color w:val="auto"/>
        </w:rPr>
        <w:t>Honda,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генератор </w:t>
      </w:r>
      <w:r>
        <w:rPr>
          <w:rFonts w:ascii="Calibri" w:cs="Calibri" w:eastAsia="Calibri" w:hAnsi="Calibri"/>
          <w:sz w:val="22"/>
          <w:szCs w:val="22"/>
          <w:color w:val="auto"/>
        </w:rPr>
        <w:t>Honda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и лодочный мотор </w:t>
      </w:r>
      <w:r>
        <w:rPr>
          <w:rFonts w:ascii="Calibri" w:cs="Calibri" w:eastAsia="Calibri" w:hAnsi="Calibri"/>
          <w:sz w:val="22"/>
          <w:szCs w:val="22"/>
          <w:color w:val="auto"/>
        </w:rPr>
        <w:t>Honda.</w:t>
      </w:r>
    </w:p>
    <w:p>
      <w:pPr>
        <w:spacing w:after="0" w:line="264" w:lineRule="exact"/>
        <w:rPr>
          <w:sz w:val="20"/>
          <w:szCs w:val="20"/>
          <w:color w:val="auto"/>
        </w:rPr>
      </w:pPr>
    </w:p>
    <w:p>
      <w:pPr>
        <w:ind w:left="260"/>
        <w:spacing w:after="0" w:line="28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Другой источник конкурентных преимуществ ДТНК касается возникающих в результате диверсификации в связанные отрасли выгод от использования общих каналов сбыта и единой торговой марки</w:t>
      </w:r>
      <w:r>
        <w:rPr>
          <w:rFonts w:ascii="Calibri" w:cs="Calibri" w:eastAsia="Calibri" w:hAnsi="Calibri"/>
          <w:sz w:val="21"/>
          <w:szCs w:val="21"/>
          <w:color w:val="auto"/>
        </w:rPr>
        <w:t>.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Взгляните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например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на такие японские ДТНК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как </w:t>
      </w:r>
      <w:r>
        <w:rPr>
          <w:rFonts w:ascii="Calibri" w:cs="Calibri" w:eastAsia="Calibri" w:hAnsi="Calibri"/>
          <w:sz w:val="21"/>
          <w:szCs w:val="21"/>
          <w:color w:val="auto"/>
        </w:rPr>
        <w:t>Sanyo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и </w:t>
      </w:r>
      <w:r>
        <w:rPr>
          <w:rFonts w:ascii="Calibri" w:cs="Calibri" w:eastAsia="Calibri" w:hAnsi="Calibri"/>
          <w:sz w:val="21"/>
          <w:szCs w:val="21"/>
          <w:color w:val="auto"/>
        </w:rPr>
        <w:t>Matsushita.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Обе диверсифицированы сразу в нескольких отраслях по производству потребительских товаров </w:t>
      </w:r>
      <w:r>
        <w:rPr>
          <w:rFonts w:ascii="Calibri" w:cs="Calibri" w:eastAsia="Calibri" w:hAnsi="Calibri"/>
          <w:sz w:val="21"/>
          <w:szCs w:val="21"/>
          <w:color w:val="auto"/>
        </w:rPr>
        <w:t>—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телевизоров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стереоаппаратуры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радиоприемников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видеомагнитофонов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бытовых приборов </w:t>
      </w:r>
      <w:r>
        <w:rPr>
          <w:rFonts w:ascii="Calibri" w:cs="Calibri" w:eastAsia="Calibri" w:hAnsi="Calibri"/>
          <w:sz w:val="21"/>
          <w:szCs w:val="21"/>
          <w:color w:val="auto"/>
        </w:rPr>
        <w:t>(</w:t>
      </w:r>
      <w:r>
        <w:rPr>
          <w:rFonts w:ascii="Calibri" w:cs="Calibri" w:eastAsia="Calibri" w:hAnsi="Calibri"/>
          <w:sz w:val="21"/>
          <w:szCs w:val="21"/>
          <w:color w:val="auto"/>
        </w:rPr>
        <w:t>например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, </w:t>
      </w:r>
      <w:r>
        <w:rPr>
          <w:rFonts w:ascii="Calibri" w:cs="Calibri" w:eastAsia="Calibri" w:hAnsi="Calibri"/>
          <w:sz w:val="21"/>
          <w:szCs w:val="21"/>
          <w:color w:val="auto"/>
        </w:rPr>
        <w:t>микроволновых печей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) </w:t>
      </w:r>
      <w:r>
        <w:rPr>
          <w:rFonts w:ascii="Calibri" w:cs="Calibri" w:eastAsia="Calibri" w:hAnsi="Calibri"/>
          <w:sz w:val="21"/>
          <w:szCs w:val="21"/>
          <w:color w:val="auto"/>
        </w:rPr>
        <w:t>и персональных компьютеров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. </w:t>
      </w:r>
      <w:r>
        <w:rPr>
          <w:rFonts w:ascii="Calibri" w:cs="Calibri" w:eastAsia="Calibri" w:hAnsi="Calibri"/>
          <w:sz w:val="21"/>
          <w:szCs w:val="21"/>
          <w:color w:val="auto"/>
        </w:rPr>
        <w:t>За счет расширения спектра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</w:t>
      </w:r>
      <w:r>
        <w:rPr>
          <w:rFonts w:ascii="Calibri" w:cs="Calibri" w:eastAsia="Calibri" w:hAnsi="Calibri"/>
          <w:sz w:val="21"/>
          <w:szCs w:val="21"/>
          <w:color w:val="auto"/>
        </w:rPr>
        <w:t>товаров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распространяемых по одним и тем же каналам</w:t>
      </w:r>
      <w:r>
        <w:rPr>
          <w:rFonts w:ascii="Calibri" w:cs="Calibri" w:eastAsia="Calibri" w:hAnsi="Calibri"/>
          <w:sz w:val="21"/>
          <w:szCs w:val="21"/>
          <w:color w:val="auto"/>
        </w:rPr>
        <w:t>, Sanyo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и </w:t>
      </w:r>
      <w:r>
        <w:rPr>
          <w:rFonts w:ascii="Calibri" w:cs="Calibri" w:eastAsia="Calibri" w:hAnsi="Calibri"/>
          <w:sz w:val="21"/>
          <w:szCs w:val="21"/>
          <w:color w:val="auto"/>
        </w:rPr>
        <w:t>Matsushita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не только использовали родственные технологии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но и создали также более мощную дистрибьюторскую сеть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получили весомую экономию от применения схожих логистических и сбытовых каналов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не говоря уже о распространении всемирной известности их торговых марок</w:t>
      </w:r>
      <w:r>
        <w:rPr>
          <w:rFonts w:ascii="Calibri" w:cs="Calibri" w:eastAsia="Calibri" w:hAnsi="Calibri"/>
          <w:sz w:val="21"/>
          <w:szCs w:val="21"/>
          <w:color w:val="auto"/>
        </w:rPr>
        <w:t>.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Эти конкурентные преимущества недоступны предприятиям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работающим в рамках одной страны и одной отрасли</w:t>
      </w:r>
      <w:r>
        <w:rPr>
          <w:rFonts w:ascii="Calibri" w:cs="Calibri" w:eastAsia="Calibri" w:hAnsi="Calibri"/>
          <w:sz w:val="21"/>
          <w:szCs w:val="21"/>
          <w:color w:val="auto"/>
        </w:rPr>
        <w:t>.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Более того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при наличии диверсифицированной ориентации и транснациональной базы ДТНК могут проникать на новые национальные и товарные рынки и завоевывать там позиции путем предоставления покупателям цен ниже рыночных </w:t>
      </w:r>
      <w:r>
        <w:rPr>
          <w:rFonts w:ascii="Calibri" w:cs="Calibri" w:eastAsia="Calibri" w:hAnsi="Calibri"/>
          <w:sz w:val="21"/>
          <w:szCs w:val="21"/>
          <w:color w:val="auto"/>
        </w:rPr>
        <w:t>(</w:t>
      </w:r>
      <w:r>
        <w:rPr>
          <w:rFonts w:ascii="Calibri" w:cs="Calibri" w:eastAsia="Calibri" w:hAnsi="Calibri"/>
          <w:sz w:val="21"/>
          <w:szCs w:val="21"/>
          <w:color w:val="auto"/>
        </w:rPr>
        <w:t>а если потребуется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то и ниже средней себестоимости</w:t>
      </w:r>
      <w:r>
        <w:rPr>
          <w:rFonts w:ascii="Calibri" w:cs="Calibri" w:eastAsia="Calibri" w:hAnsi="Calibri"/>
          <w:sz w:val="21"/>
          <w:szCs w:val="21"/>
          <w:color w:val="auto"/>
        </w:rPr>
        <w:t>),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компенсируя свои затраты за счет собственных предприятий в других странах или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260" w:right="40"/>
        <w:spacing w:after="0" w:line="273" w:lineRule="auto"/>
        <w:tabs>
          <w:tab w:leader="none" w:pos="414" w:val="left"/>
        </w:tabs>
        <w:numPr>
          <w:ilvl w:val="0"/>
          <w:numId w:val="3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других отраслях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>Ни транснациональная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ни национальная компании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действующие в рамках одной отрасли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не в состоянии защитить себя от ДТНК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идущей на краткосрочные потери части прибыли ради завоевывания лидерства в долгосрочном аспекте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на новом перспективном рынке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Одноотраслевая местная компания имеет лишь один источник получения прибыли </w:t>
      </w:r>
      <w:r>
        <w:rPr>
          <w:rFonts w:ascii="Calibri" w:cs="Calibri" w:eastAsia="Calibri" w:hAnsi="Calibri"/>
          <w:sz w:val="22"/>
          <w:szCs w:val="22"/>
          <w:color w:val="auto"/>
        </w:rPr>
        <w:t>—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собственный национальный рынок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Одноотраслевая транснациональная корпорация может получить прибыль на рынках разных стран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но лишь в одной сфере деятельности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Обе они уязвимы перед лицом диверсифицированной транснациональной корпорации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начинающей свое стратегическое наступление на эти источники путем снижения цен для завоевания большей доли на рынке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Способность ДТНК год за годом </w:t>
      </w:r>
      <w:r>
        <w:rPr>
          <w:rFonts w:ascii="Calibri" w:cs="Calibri" w:eastAsia="Calibri" w:hAnsi="Calibri"/>
          <w:sz w:val="22"/>
          <w:szCs w:val="22"/>
          <w:color w:val="auto"/>
        </w:rPr>
        <w:t>“</w:t>
      </w:r>
      <w:r>
        <w:rPr>
          <w:rFonts w:ascii="Calibri" w:cs="Calibri" w:eastAsia="Calibri" w:hAnsi="Calibri"/>
          <w:sz w:val="22"/>
          <w:szCs w:val="22"/>
          <w:color w:val="auto"/>
        </w:rPr>
        <w:t>давить</w:t>
      </w:r>
      <w:r>
        <w:rPr>
          <w:rFonts w:ascii="Calibri" w:cs="Calibri" w:eastAsia="Calibri" w:hAnsi="Calibri"/>
          <w:sz w:val="22"/>
          <w:szCs w:val="22"/>
          <w:color w:val="auto"/>
        </w:rPr>
        <w:t>”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своих конкурентов заниженными ценами возникает благодаря ее возможностям снижения издержек в связи с диверсификацией в связанные отрасли и наличию источников для компенсации низких прибылей и даже убытков за счет высокорентабельных предприятий в других странах и отраслях</w:t>
      </w:r>
      <w:r>
        <w:rPr>
          <w:rFonts w:ascii="Calibri" w:cs="Calibri" w:eastAsia="Calibri" w:hAnsi="Calibri"/>
          <w:sz w:val="22"/>
          <w:szCs w:val="22"/>
          <w:color w:val="auto"/>
        </w:rPr>
        <w:t>. Sanyo,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например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благодаря такой диверсификации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ориентированной на получение товарных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сбытовых и технологических преимуществ и на мировое распространение своей продукции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может в конечном счете заблокировать такие компании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как </w:t>
      </w:r>
      <w:r>
        <w:rPr>
          <w:rFonts w:ascii="Calibri" w:cs="Calibri" w:eastAsia="Calibri" w:hAnsi="Calibri"/>
          <w:sz w:val="22"/>
          <w:szCs w:val="22"/>
          <w:color w:val="auto"/>
        </w:rPr>
        <w:t>Zenith (</w:t>
      </w:r>
      <w:r>
        <w:rPr>
          <w:rFonts w:ascii="Calibri" w:cs="Calibri" w:eastAsia="Calibri" w:hAnsi="Calibri"/>
          <w:sz w:val="22"/>
          <w:szCs w:val="22"/>
          <w:color w:val="auto"/>
        </w:rPr>
        <w:t>телевизоры и портативные компьютеры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и </w:t>
      </w:r>
      <w:r>
        <w:rPr>
          <w:rFonts w:ascii="Calibri" w:cs="Calibri" w:eastAsia="Calibri" w:hAnsi="Calibri"/>
          <w:sz w:val="22"/>
          <w:szCs w:val="22"/>
          <w:color w:val="auto"/>
        </w:rPr>
        <w:t>Maytag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>бытовая техника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) </w:t>
      </w:r>
      <w:r>
        <w:rPr>
          <w:rFonts w:ascii="Calibri" w:cs="Calibri" w:eastAsia="Calibri" w:hAnsi="Calibri"/>
          <w:sz w:val="22"/>
          <w:szCs w:val="22"/>
          <w:color w:val="auto"/>
        </w:rPr>
        <w:t>и оказать на них очень серьезное давление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. Sanyo </w:t>
      </w:r>
      <w:r>
        <w:rPr>
          <w:rFonts w:ascii="Calibri" w:cs="Calibri" w:eastAsia="Calibri" w:hAnsi="Calibri"/>
          <w:sz w:val="22"/>
          <w:szCs w:val="22"/>
          <w:color w:val="auto"/>
        </w:rPr>
        <w:t>в состоянии отвоевать у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Zenith </w:t>
      </w:r>
      <w:r>
        <w:rPr>
          <w:rFonts w:ascii="Calibri" w:cs="Calibri" w:eastAsia="Calibri" w:hAnsi="Calibri"/>
          <w:sz w:val="22"/>
          <w:szCs w:val="22"/>
          <w:color w:val="auto"/>
        </w:rPr>
        <w:t>значительную долю на рынке телевизоров и заметно пошатнуть приверженность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покупателей к торговой марке </w:t>
      </w:r>
      <w:r>
        <w:rPr>
          <w:rFonts w:ascii="Calibri" w:cs="Calibri" w:eastAsia="Calibri" w:hAnsi="Calibri"/>
          <w:sz w:val="22"/>
          <w:szCs w:val="22"/>
          <w:color w:val="auto"/>
        </w:rPr>
        <w:t>Zenith. Sanyo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может также внедриться на рынок крупной бытовой техники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>путем приобретения какого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либо предприятия в этой отрасли или построив его самостоятельно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и начать ценовую войну против </w:t>
      </w:r>
      <w:r>
        <w:rPr>
          <w:rFonts w:ascii="Calibri" w:cs="Calibri" w:eastAsia="Calibri" w:hAnsi="Calibri"/>
          <w:sz w:val="22"/>
          <w:szCs w:val="22"/>
          <w:color w:val="auto"/>
        </w:rPr>
        <w:t>Maytag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и других менее диверсифицированных национальных производителей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компенсируя демпинговые цены на эту продукцию прибылью от</w:t>
      </w:r>
    </w:p>
    <w:p>
      <w:pPr>
        <w:sectPr>
          <w:pgSz w:w="11900" w:h="16838" w:orient="portrait"/>
          <w:cols w:equalWidth="0" w:num="1">
            <w:col w:w="9560"/>
          </w:cols>
          <w:pgMar w:left="1440" w:top="1178" w:right="904" w:bottom="666" w:gutter="0" w:footer="0" w:header="0"/>
        </w:sectPr>
      </w:pPr>
    </w:p>
    <w:p>
      <w:pPr>
        <w:ind w:left="260" w:right="460"/>
        <w:spacing w:after="0" w:line="26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других своих предприятий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Если </w:t>
      </w:r>
      <w:r>
        <w:rPr>
          <w:rFonts w:ascii="Calibri" w:cs="Calibri" w:eastAsia="Calibri" w:hAnsi="Calibri"/>
          <w:sz w:val="22"/>
          <w:szCs w:val="22"/>
          <w:color w:val="auto"/>
        </w:rPr>
        <w:t>Sanyo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пожелает этого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она сможет удержать низкие цены в течение нескольких лет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завоевывая таким образом долю на рынке за счет своих внутренних конкурентов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и лишь после своей победы займется получением прибыли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>Транснациональная корпорация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диверсифицированная в связанные отрасли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превосходит по прочности своих позиций одноотраслевые компании независимо от их географической экспансии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MITSUBISHI: </w:t>
      </w:r>
      <w:r>
        <w:rPr>
          <w:rFonts w:ascii="Calibri" w:cs="Calibri" w:eastAsia="Calibri" w:hAnsi="Calibri"/>
          <w:sz w:val="22"/>
          <w:szCs w:val="22"/>
          <w:color w:val="auto"/>
        </w:rPr>
        <w:t>КОНКУРЕНТНАЯ СИЛА КЭЙРЕЦУ</w:t>
      </w: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ind w:left="260" w:right="700"/>
        <w:spacing w:after="0" w:line="23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Mitsubishi </w:t>
      </w:r>
      <w:r>
        <w:rPr>
          <w:rFonts w:ascii="Calibri" w:cs="Calibri" w:eastAsia="Calibri" w:hAnsi="Calibri"/>
          <w:sz w:val="22"/>
          <w:szCs w:val="22"/>
          <w:color w:val="auto"/>
        </w:rPr>
        <w:t>представляет собой одну из крупнейших японских систем корпоративных связей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(</w:t>
      </w:r>
      <w:r>
        <w:rPr>
          <w:rFonts w:ascii="Calibri" w:cs="Calibri" w:eastAsia="Calibri" w:hAnsi="Calibri"/>
          <w:sz w:val="22"/>
          <w:szCs w:val="22"/>
          <w:color w:val="auto"/>
        </w:rPr>
        <w:t>кэйрецу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) — </w:t>
      </w:r>
      <w:r>
        <w:rPr>
          <w:rFonts w:ascii="Calibri" w:cs="Calibri" w:eastAsia="Calibri" w:hAnsi="Calibri"/>
          <w:sz w:val="22"/>
          <w:szCs w:val="22"/>
          <w:color w:val="auto"/>
        </w:rPr>
        <w:t>семейство объединенных компаний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42" w:lineRule="exact"/>
        <w:rPr>
          <w:sz w:val="20"/>
          <w:szCs w:val="20"/>
          <w:color w:val="auto"/>
        </w:rPr>
      </w:pPr>
    </w:p>
    <w:p>
      <w:pPr>
        <w:ind w:left="420" w:hanging="160"/>
        <w:spacing w:after="0"/>
        <w:tabs>
          <w:tab w:leader="none" w:pos="420" w:val="left"/>
        </w:tabs>
        <w:numPr>
          <w:ilvl w:val="0"/>
          <w:numId w:val="4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1992 </w:t>
      </w:r>
      <w:r>
        <w:rPr>
          <w:rFonts w:ascii="Calibri" w:cs="Calibri" w:eastAsia="Calibri" w:hAnsi="Calibri"/>
          <w:sz w:val="22"/>
          <w:szCs w:val="22"/>
          <w:color w:val="auto"/>
        </w:rPr>
        <w:t>г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. </w:t>
      </w:r>
      <w:r>
        <w:rPr>
          <w:rFonts w:ascii="Calibri" w:cs="Calibri" w:eastAsia="Calibri" w:hAnsi="Calibri"/>
          <w:sz w:val="22"/>
          <w:szCs w:val="22"/>
          <w:color w:val="auto"/>
        </w:rPr>
        <w:t>объем ее продаж составил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175 </w:t>
      </w:r>
      <w:r>
        <w:rPr>
          <w:rFonts w:ascii="Calibri" w:cs="Calibri" w:eastAsia="Calibri" w:hAnsi="Calibri"/>
          <w:sz w:val="22"/>
          <w:szCs w:val="22"/>
          <w:color w:val="auto"/>
        </w:rPr>
        <w:t>млрд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. </w:t>
      </w:r>
      <w:r>
        <w:rPr>
          <w:rFonts w:ascii="Calibri" w:cs="Calibri" w:eastAsia="Calibri" w:hAnsi="Calibri"/>
          <w:sz w:val="22"/>
          <w:szCs w:val="22"/>
          <w:color w:val="auto"/>
        </w:rPr>
        <w:t>долл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. </w:t>
      </w:r>
      <w:r>
        <w:rPr>
          <w:rFonts w:ascii="Calibri" w:cs="Calibri" w:eastAsia="Calibri" w:hAnsi="Calibri"/>
          <w:sz w:val="22"/>
          <w:szCs w:val="22"/>
          <w:color w:val="auto"/>
        </w:rPr>
        <w:t>США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. </w:t>
      </w:r>
      <w:r>
        <w:rPr>
          <w:rFonts w:ascii="Calibri" w:cs="Calibri" w:eastAsia="Calibri" w:hAnsi="Calibri"/>
          <w:sz w:val="22"/>
          <w:szCs w:val="22"/>
          <w:color w:val="auto"/>
        </w:rPr>
        <w:t>Кейрецу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Mitsubishi </w:t>
      </w:r>
      <w:r>
        <w:rPr>
          <w:rFonts w:ascii="Calibri" w:cs="Calibri" w:eastAsia="Calibri" w:hAnsi="Calibri"/>
          <w:sz w:val="22"/>
          <w:szCs w:val="22"/>
          <w:color w:val="auto"/>
        </w:rPr>
        <w:t>состоит из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28</w:t>
      </w:r>
    </w:p>
    <w:p>
      <w:pPr>
        <w:spacing w:after="0" w:line="87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260" w:right="140"/>
        <w:spacing w:after="0" w:line="254" w:lineRule="auto"/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компаний</w:t>
      </w:r>
      <w:r>
        <w:rPr>
          <w:rFonts w:ascii="Calibri" w:cs="Calibri" w:eastAsia="Calibri" w:hAnsi="Calibri"/>
          <w:sz w:val="22"/>
          <w:szCs w:val="22"/>
          <w:color w:val="auto"/>
        </w:rPr>
        <w:t>: Mitsubishi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Согр</w:t>
      </w:r>
      <w:r>
        <w:rPr>
          <w:rFonts w:ascii="Calibri" w:cs="Calibri" w:eastAsia="Calibri" w:hAnsi="Calibri"/>
          <w:sz w:val="22"/>
          <w:szCs w:val="22"/>
          <w:color w:val="auto"/>
        </w:rPr>
        <w:t>. (</w:t>
      </w:r>
      <w:r>
        <w:rPr>
          <w:rFonts w:ascii="Calibri" w:cs="Calibri" w:eastAsia="Calibri" w:hAnsi="Calibri"/>
          <w:sz w:val="22"/>
          <w:szCs w:val="22"/>
          <w:color w:val="auto"/>
        </w:rPr>
        <w:t>торговая компания</w:t>
      </w:r>
      <w:r>
        <w:rPr>
          <w:rFonts w:ascii="Calibri" w:cs="Calibri" w:eastAsia="Calibri" w:hAnsi="Calibri"/>
          <w:sz w:val="22"/>
          <w:szCs w:val="22"/>
          <w:color w:val="auto"/>
        </w:rPr>
        <w:t>), Mitsubishi Heavy Industries (</w:t>
      </w:r>
      <w:r>
        <w:rPr>
          <w:rFonts w:ascii="Calibri" w:cs="Calibri" w:eastAsia="Calibri" w:hAnsi="Calibri"/>
          <w:sz w:val="22"/>
          <w:szCs w:val="22"/>
          <w:color w:val="auto"/>
        </w:rPr>
        <w:t>крупнейший производитель данного объединения в области судостроения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кондиционеров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роботов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газовых турбин</w:t>
      </w:r>
      <w:r>
        <w:rPr>
          <w:rFonts w:ascii="Calibri" w:cs="Calibri" w:eastAsia="Calibri" w:hAnsi="Calibri"/>
          <w:sz w:val="22"/>
          <w:szCs w:val="22"/>
          <w:color w:val="auto"/>
        </w:rPr>
        <w:t>), Mitsubishi Motors, Mitsubishi Steel, Mitsubishi Aluminum, Mitsubishi Oil, Mitsubishi</w:t>
      </w:r>
    </w:p>
    <w:p>
      <w:pPr>
        <w:spacing w:after="0" w:line="73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jc w:val="both"/>
        <w:ind w:left="260" w:right="620"/>
        <w:spacing w:after="0" w:line="258" w:lineRule="auto"/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Petrochemical, Mitsubishi Plastics, Mitsubishi Cable, Mitsubishi Electric, Mitsubishi Construction, Mitsubishi Paper Mills, Mitsubishi Mining and Cement, Mitsubishi Rayon, Nicon, Asahi Glass, Kirin</w:t>
      </w:r>
    </w:p>
    <w:p>
      <w:pPr>
        <w:spacing w:after="0" w:line="68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260"/>
        <w:spacing w:after="0" w:line="273" w:lineRule="auto"/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Brewery, Mitsubishi Bank (</w:t>
      </w:r>
      <w:r>
        <w:rPr>
          <w:rFonts w:ascii="Calibri" w:cs="Calibri" w:eastAsia="Calibri" w:hAnsi="Calibri"/>
          <w:sz w:val="22"/>
          <w:szCs w:val="22"/>
          <w:color w:val="auto"/>
        </w:rPr>
        <w:t>занимающий пятое место в мире среди крупнейших банков</w:t>
      </w:r>
      <w:r>
        <w:rPr>
          <w:rFonts w:ascii="Calibri" w:cs="Calibri" w:eastAsia="Calibri" w:hAnsi="Calibri"/>
          <w:sz w:val="22"/>
          <w:szCs w:val="22"/>
          <w:color w:val="auto"/>
        </w:rPr>
        <w:t>), Tokyo Marine and Fire Insurance (</w:t>
      </w:r>
      <w:r>
        <w:rPr>
          <w:rFonts w:ascii="Calibri" w:cs="Calibri" w:eastAsia="Calibri" w:hAnsi="Calibri"/>
          <w:sz w:val="22"/>
          <w:szCs w:val="22"/>
          <w:color w:val="auto"/>
        </w:rPr>
        <w:t>одна из крупнейших в мире страховых компаний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) </w:t>
      </w:r>
      <w:r>
        <w:rPr>
          <w:rFonts w:ascii="Calibri" w:cs="Calibri" w:eastAsia="Calibri" w:hAnsi="Calibri"/>
          <w:sz w:val="22"/>
          <w:szCs w:val="22"/>
          <w:color w:val="auto"/>
        </w:rPr>
        <w:t>и т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>д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. </w:t>
      </w:r>
      <w:r>
        <w:rPr>
          <w:rFonts w:ascii="Calibri" w:cs="Calibri" w:eastAsia="Calibri" w:hAnsi="Calibri"/>
          <w:sz w:val="22"/>
          <w:szCs w:val="22"/>
          <w:color w:val="auto"/>
        </w:rPr>
        <w:t>Кроме этих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</w:t>
      </w:r>
      <w:r>
        <w:rPr>
          <w:rFonts w:ascii="Calibri" w:cs="Calibri" w:eastAsia="Calibri" w:hAnsi="Calibri"/>
          <w:sz w:val="22"/>
          <w:szCs w:val="22"/>
          <w:color w:val="auto"/>
        </w:rPr>
        <w:t>основных компаний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существуют еще сотни других фирм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принадлежащих к системе корпоративных связей </w:t>
      </w:r>
      <w:r>
        <w:rPr>
          <w:rFonts w:ascii="Calibri" w:cs="Calibri" w:eastAsia="Calibri" w:hAnsi="Calibri"/>
          <w:sz w:val="22"/>
          <w:szCs w:val="22"/>
          <w:color w:val="auto"/>
        </w:rPr>
        <w:t>Mitsubishi.,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Между основными </w:t>
      </w:r>
      <w:r>
        <w:rPr>
          <w:rFonts w:ascii="Calibri" w:cs="Calibri" w:eastAsia="Calibri" w:hAnsi="Calibri"/>
          <w:sz w:val="22"/>
          <w:szCs w:val="22"/>
          <w:color w:val="auto"/>
        </w:rPr>
        <w:t>28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компаниями существуют тесные связи в виде взаимного участия в акционерном капитале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>процент акций компании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принадлежащий другим членам кэйрецу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колеблется от </w:t>
      </w:r>
      <w:r>
        <w:rPr>
          <w:rFonts w:ascii="Calibri" w:cs="Calibri" w:eastAsia="Calibri" w:hAnsi="Calibri"/>
          <w:sz w:val="22"/>
          <w:szCs w:val="22"/>
          <w:color w:val="auto"/>
        </w:rPr>
        <w:t>17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до </w:t>
      </w:r>
      <w:r>
        <w:rPr>
          <w:rFonts w:ascii="Calibri" w:cs="Calibri" w:eastAsia="Calibri" w:hAnsi="Calibri"/>
          <w:sz w:val="22"/>
          <w:szCs w:val="22"/>
          <w:color w:val="auto"/>
        </w:rPr>
        <w:t>100,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 в среднем составляет </w:t>
      </w:r>
      <w:r>
        <w:rPr>
          <w:rFonts w:ascii="Calibri" w:cs="Calibri" w:eastAsia="Calibri" w:hAnsi="Calibri"/>
          <w:sz w:val="22"/>
          <w:szCs w:val="22"/>
          <w:color w:val="auto"/>
        </w:rPr>
        <w:t>27%),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взаимного членства в советах директоров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для менеджеров одной компании достаточно обычное явление </w:t>
      </w:r>
      <w:r>
        <w:rPr>
          <w:rFonts w:ascii="Calibri" w:cs="Calibri" w:eastAsia="Calibri" w:hAnsi="Calibri"/>
          <w:sz w:val="22"/>
          <w:szCs w:val="22"/>
          <w:color w:val="auto"/>
        </w:rPr>
        <w:t>—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быть одновременно и членом правления другой компании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входящей в кэйрецу</w:t>
      </w:r>
      <w:r>
        <w:rPr>
          <w:rFonts w:ascii="Calibri" w:cs="Calibri" w:eastAsia="Calibri" w:hAnsi="Calibri"/>
          <w:sz w:val="22"/>
          <w:szCs w:val="22"/>
          <w:color w:val="auto"/>
        </w:rPr>
        <w:t>),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совместных предприятий и т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д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>Во многих случаях компании пользуются товарами и услугами друг друга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Например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среди поставщиков </w:t>
      </w:r>
      <w:r>
        <w:rPr>
          <w:rFonts w:ascii="Calibri" w:cs="Calibri" w:eastAsia="Calibri" w:hAnsi="Calibri"/>
          <w:sz w:val="22"/>
          <w:szCs w:val="22"/>
          <w:color w:val="auto"/>
        </w:rPr>
        <w:t>Mitsubishi Motor’s Diamond Star Plant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 Блумингтоне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штат Иллинойс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есть </w:t>
      </w:r>
      <w:r>
        <w:rPr>
          <w:rFonts w:ascii="Calibri" w:cs="Calibri" w:eastAsia="Calibri" w:hAnsi="Calibri"/>
          <w:sz w:val="22"/>
          <w:szCs w:val="22"/>
          <w:color w:val="auto"/>
        </w:rPr>
        <w:t>25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компаний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поставляющих товары и услуги одновременно и другим членам кэйрецу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>Кэйрецу характерно также объединение сил для осуществления новых приобретений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Так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например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пять компаний объединились для покупки цементного завода в Калифорнии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Mitsubishi </w:t>
      </w:r>
      <w:r>
        <w:rPr>
          <w:rFonts w:ascii="Calibri" w:cs="Calibri" w:eastAsia="Calibri" w:hAnsi="Calibri"/>
          <w:sz w:val="22"/>
          <w:szCs w:val="22"/>
          <w:color w:val="auto"/>
        </w:rPr>
        <w:t>Согр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. </w:t>
      </w:r>
      <w:r>
        <w:rPr>
          <w:rFonts w:ascii="Calibri" w:cs="Calibri" w:eastAsia="Calibri" w:hAnsi="Calibri"/>
          <w:sz w:val="22"/>
          <w:szCs w:val="22"/>
          <w:color w:val="auto"/>
        </w:rPr>
        <w:t>приобрела химическую компанию в Питсбурге стоимостью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880 </w:t>
      </w:r>
      <w:r>
        <w:rPr>
          <w:rFonts w:ascii="Calibri" w:cs="Calibri" w:eastAsia="Calibri" w:hAnsi="Calibri"/>
          <w:sz w:val="22"/>
          <w:szCs w:val="22"/>
          <w:color w:val="auto"/>
        </w:rPr>
        <w:t>млн долл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. </w:t>
      </w:r>
      <w:r>
        <w:rPr>
          <w:rFonts w:ascii="Calibri" w:cs="Calibri" w:eastAsia="Calibri" w:hAnsi="Calibri"/>
          <w:sz w:val="22"/>
          <w:szCs w:val="22"/>
          <w:color w:val="auto"/>
        </w:rPr>
        <w:t>США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при поддержке </w:t>
      </w:r>
      <w:r>
        <w:rPr>
          <w:rFonts w:ascii="Calibri" w:cs="Calibri" w:eastAsia="Calibri" w:hAnsi="Calibri"/>
          <w:sz w:val="22"/>
          <w:szCs w:val="22"/>
          <w:color w:val="auto"/>
        </w:rPr>
        <w:t>Mitsubishi Bank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и </w:t>
      </w:r>
      <w:r>
        <w:rPr>
          <w:rFonts w:ascii="Calibri" w:cs="Calibri" w:eastAsia="Calibri" w:hAnsi="Calibri"/>
          <w:sz w:val="22"/>
          <w:szCs w:val="22"/>
          <w:color w:val="auto"/>
        </w:rPr>
        <w:t>Mitsubishi Trust,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 затем продала часть акций </w:t>
      </w:r>
      <w:r>
        <w:rPr>
          <w:rFonts w:ascii="Calibri" w:cs="Calibri" w:eastAsia="Calibri" w:hAnsi="Calibri"/>
          <w:sz w:val="22"/>
          <w:szCs w:val="22"/>
          <w:color w:val="auto"/>
        </w:rPr>
        <w:t>Mitsubishi Gas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Chemical, Mitsubishi Rayon, Mitsubishi Petrochemical </w:t>
      </w:r>
      <w:r>
        <w:rPr>
          <w:rFonts w:ascii="Calibri" w:cs="Calibri" w:eastAsia="Calibri" w:hAnsi="Calibri"/>
          <w:sz w:val="22"/>
          <w:szCs w:val="22"/>
          <w:color w:val="auto"/>
        </w:rPr>
        <w:t>и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Mitsubishi Kasei. Mitsubishi Bank </w:t>
      </w:r>
      <w:r>
        <w:rPr>
          <w:rFonts w:ascii="Calibri" w:cs="Calibri" w:eastAsia="Calibri" w:hAnsi="Calibri"/>
          <w:sz w:val="22"/>
          <w:szCs w:val="22"/>
          <w:color w:val="auto"/>
        </w:rPr>
        <w:t>и другие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</w:t>
      </w:r>
      <w:r>
        <w:rPr>
          <w:rFonts w:ascii="Calibri" w:cs="Calibri" w:eastAsia="Calibri" w:hAnsi="Calibri"/>
          <w:sz w:val="22"/>
          <w:szCs w:val="22"/>
          <w:color w:val="auto"/>
        </w:rPr>
        <w:t>финансовые компании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входящие в кэйрецу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служат основным источником средств для осуществления новых проектов и поддерживают членов кэйрецу в случае серьезных финансовых проблем Но несмотря на такие тесные связи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единой стратегии корпорации </w:t>
      </w:r>
      <w:r>
        <w:rPr>
          <w:rFonts w:ascii="Calibri" w:cs="Calibri" w:eastAsia="Calibri" w:hAnsi="Calibri"/>
          <w:sz w:val="22"/>
          <w:szCs w:val="22"/>
          <w:color w:val="auto"/>
        </w:rPr>
        <w:t>Mitsubishi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не существует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каждая компания обладает полной самостоятельностью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Время от времени члены Кэйрецу даже конкурируют между собой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73" w:lineRule="exact"/>
        <w:rPr>
          <w:sz w:val="20"/>
          <w:szCs w:val="20"/>
          <w:color w:val="auto"/>
        </w:rPr>
      </w:pPr>
    </w:p>
    <w:p>
      <w:pPr>
        <w:ind w:left="260" w:right="540"/>
        <w:spacing w:after="0" w:line="25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Но подобная независимость действий не мешает им объединяться на добровольной основе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соблюдать взаимные интересы или обращаться друг к другу за помощью для достижения стратегически важных целей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ind w:left="260"/>
        <w:spacing w:after="0" w:line="26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Президентский Совет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состоящий из </w:t>
      </w:r>
      <w:r>
        <w:rPr>
          <w:rFonts w:ascii="Calibri" w:cs="Calibri" w:eastAsia="Calibri" w:hAnsi="Calibri"/>
          <w:sz w:val="22"/>
          <w:szCs w:val="22"/>
          <w:color w:val="auto"/>
        </w:rPr>
        <w:t>49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директоров и президентов компаний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собирается во вторую пятницу каждого месяца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Обычно повестка дня содержит дискуссии по поводу совместных проектов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 также доклад эксперта по какой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либо проблеме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Кроме того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члены Совета делают сообщения по поводу стратегических проблем или новых возможностей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которые могут оказать воздействие на деятельность других членов кэйрецу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Здесь же принимаются наиболее важные стратегические решения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ectPr>
          <w:pgSz w:w="11900" w:h="16838" w:orient="portrait"/>
          <w:cols w:equalWidth="0" w:num="1">
            <w:col w:w="9580"/>
          </w:cols>
          <w:pgMar w:left="1440" w:top="1178" w:right="884" w:bottom="567" w:gutter="0" w:footer="0" w:header="0"/>
        </w:sectPr>
      </w:pP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260" w:right="300"/>
        <w:spacing w:after="0" w:line="23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Такие встречи Совета способствуют укреплению межфирменных связей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обмену информацией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определению сфер взаимных интересов и путей их достижения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ind w:left="260"/>
        <w:spacing w:after="0" w:line="268" w:lineRule="auto"/>
        <w:tabs>
          <w:tab w:leader="none" w:pos="428" w:val="left"/>
        </w:tabs>
        <w:numPr>
          <w:ilvl w:val="0"/>
          <w:numId w:val="5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последние годы </w:t>
      </w:r>
      <w:r>
        <w:rPr>
          <w:rFonts w:ascii="Calibri" w:cs="Calibri" w:eastAsia="Calibri" w:hAnsi="Calibri"/>
          <w:sz w:val="22"/>
          <w:szCs w:val="22"/>
          <w:color w:val="auto"/>
        </w:rPr>
        <w:t>Mitsubishi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поставляет значительное количество потребительских товаров в США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При этом часто происходит так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что рекламная кампания одного вида товара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>например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автомобилей фирмы </w:t>
      </w:r>
      <w:r>
        <w:rPr>
          <w:rFonts w:ascii="Calibri" w:cs="Calibri" w:eastAsia="Calibri" w:hAnsi="Calibri"/>
          <w:sz w:val="22"/>
          <w:szCs w:val="22"/>
          <w:color w:val="auto"/>
        </w:rPr>
        <w:t>Mitsubishi Motor's)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способствует увеличению сбыта другого товара </w:t>
      </w:r>
      <w:r>
        <w:rPr>
          <w:rFonts w:ascii="Calibri" w:cs="Calibri" w:eastAsia="Calibri" w:hAnsi="Calibri"/>
          <w:sz w:val="22"/>
          <w:szCs w:val="22"/>
          <w:color w:val="auto"/>
        </w:rPr>
        <w:t>(</w:t>
      </w:r>
      <w:r>
        <w:rPr>
          <w:rFonts w:ascii="Calibri" w:cs="Calibri" w:eastAsia="Calibri" w:hAnsi="Calibri"/>
          <w:sz w:val="22"/>
          <w:szCs w:val="22"/>
          <w:color w:val="auto"/>
        </w:rPr>
        <w:t>например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, </w:t>
      </w:r>
      <w:r>
        <w:rPr>
          <w:rFonts w:ascii="Calibri" w:cs="Calibri" w:eastAsia="Calibri" w:hAnsi="Calibri"/>
          <w:sz w:val="22"/>
          <w:szCs w:val="22"/>
          <w:color w:val="auto"/>
        </w:rPr>
        <w:t>телевизоров фирмы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Mitsubishi Electric). </w:t>
      </w:r>
      <w:r>
        <w:rPr>
          <w:rFonts w:ascii="Calibri" w:cs="Calibri" w:eastAsia="Calibri" w:hAnsi="Calibri"/>
          <w:sz w:val="22"/>
          <w:szCs w:val="22"/>
          <w:color w:val="auto"/>
        </w:rPr>
        <w:t>Нередко одна или несколько компаний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Mitsubishi </w:t>
      </w:r>
      <w:r>
        <w:rPr>
          <w:rFonts w:ascii="Calibri" w:cs="Calibri" w:eastAsia="Calibri" w:hAnsi="Calibri"/>
          <w:sz w:val="22"/>
          <w:szCs w:val="22"/>
          <w:color w:val="auto"/>
        </w:rPr>
        <w:t>участвуют во всех стадиях создания продукта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— </w:t>
      </w:r>
      <w:r>
        <w:rPr>
          <w:rFonts w:ascii="Calibri" w:cs="Calibri" w:eastAsia="Calibri" w:hAnsi="Calibri"/>
          <w:sz w:val="22"/>
          <w:szCs w:val="22"/>
          <w:color w:val="auto"/>
        </w:rPr>
        <w:t>от производства отдельных деталей до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</w:t>
      </w:r>
      <w:r>
        <w:rPr>
          <w:rFonts w:ascii="Calibri" w:cs="Calibri" w:eastAsia="Calibri" w:hAnsi="Calibri"/>
          <w:sz w:val="22"/>
          <w:szCs w:val="22"/>
          <w:color w:val="auto"/>
        </w:rPr>
        <w:t>транспортировки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хранения и сбыта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>Подобные методы применяют и остальные пять крупнейших японских кэйрецу</w:t>
      </w:r>
      <w:r>
        <w:rPr>
          <w:rFonts w:ascii="Calibri" w:cs="Calibri" w:eastAsia="Calibri" w:hAnsi="Calibri"/>
          <w:sz w:val="22"/>
          <w:szCs w:val="22"/>
          <w:color w:val="auto"/>
        </w:rPr>
        <w:t>: Dai-lchi Kangin,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состоящий из </w:t>
      </w:r>
      <w:r>
        <w:rPr>
          <w:rFonts w:ascii="Calibri" w:cs="Calibri" w:eastAsia="Calibri" w:hAnsi="Calibri"/>
          <w:sz w:val="22"/>
          <w:szCs w:val="22"/>
          <w:color w:val="auto"/>
        </w:rPr>
        <w:t>47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компаний</w:t>
      </w:r>
      <w:r>
        <w:rPr>
          <w:rFonts w:ascii="Calibri" w:cs="Calibri" w:eastAsia="Calibri" w:hAnsi="Calibri"/>
          <w:sz w:val="22"/>
          <w:szCs w:val="22"/>
          <w:color w:val="auto"/>
        </w:rPr>
        <w:t>, Mitsui Group (24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компании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включая</w:t>
      </w:r>
    </w:p>
    <w:p>
      <w:pPr>
        <w:spacing w:after="0" w:line="61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260" w:right="280"/>
        <w:spacing w:after="0" w:line="264" w:lineRule="auto"/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Toyota </w:t>
      </w:r>
      <w:r>
        <w:rPr>
          <w:rFonts w:ascii="Calibri" w:cs="Calibri" w:eastAsia="Calibri" w:hAnsi="Calibri"/>
          <w:sz w:val="22"/>
          <w:szCs w:val="22"/>
          <w:color w:val="auto"/>
        </w:rPr>
        <w:t>и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Toshiba), Sanwa (44 </w:t>
      </w:r>
      <w:r>
        <w:rPr>
          <w:rFonts w:ascii="Calibri" w:cs="Calibri" w:eastAsia="Calibri" w:hAnsi="Calibri"/>
          <w:sz w:val="22"/>
          <w:szCs w:val="22"/>
          <w:color w:val="auto"/>
        </w:rPr>
        <w:t>компании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), Sumitomo (20 </w:t>
      </w:r>
      <w:r>
        <w:rPr>
          <w:rFonts w:ascii="Calibri" w:cs="Calibri" w:eastAsia="Calibri" w:hAnsi="Calibri"/>
          <w:sz w:val="22"/>
          <w:szCs w:val="22"/>
          <w:color w:val="auto"/>
        </w:rPr>
        <w:t>компаний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, </w:t>
      </w:r>
      <w:r>
        <w:rPr>
          <w:rFonts w:ascii="Calibri" w:cs="Calibri" w:eastAsia="Calibri" w:hAnsi="Calibri"/>
          <w:sz w:val="22"/>
          <w:szCs w:val="22"/>
          <w:color w:val="auto"/>
        </w:rPr>
        <w:t>включая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NEC — </w:t>
      </w:r>
      <w:r>
        <w:rPr>
          <w:rFonts w:ascii="Calibri" w:cs="Calibri" w:eastAsia="Calibri" w:hAnsi="Calibri"/>
          <w:sz w:val="22"/>
          <w:szCs w:val="22"/>
          <w:color w:val="auto"/>
        </w:rPr>
        <w:t>компанию по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</w:t>
      </w:r>
      <w:r>
        <w:rPr>
          <w:rFonts w:ascii="Calibri" w:cs="Calibri" w:eastAsia="Calibri" w:hAnsi="Calibri"/>
          <w:sz w:val="22"/>
          <w:szCs w:val="22"/>
          <w:color w:val="auto"/>
        </w:rPr>
        <w:t>производству телекоммуникационного оборудования и персональных компьютеров</w:t>
      </w:r>
      <w:r>
        <w:rPr>
          <w:rFonts w:ascii="Calibri" w:cs="Calibri" w:eastAsia="Calibri" w:hAnsi="Calibri"/>
          <w:sz w:val="22"/>
          <w:szCs w:val="22"/>
          <w:color w:val="auto"/>
        </w:rPr>
        <w:t>)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и </w:t>
      </w:r>
      <w:r>
        <w:rPr>
          <w:rFonts w:ascii="Calibri" w:cs="Calibri" w:eastAsia="Calibri" w:hAnsi="Calibri"/>
          <w:sz w:val="22"/>
          <w:szCs w:val="22"/>
          <w:color w:val="auto"/>
        </w:rPr>
        <w:t>Fuyo (29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компаний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включая </w:t>
      </w:r>
      <w:r>
        <w:rPr>
          <w:rFonts w:ascii="Calibri" w:cs="Calibri" w:eastAsia="Calibri" w:hAnsi="Calibri"/>
          <w:sz w:val="22"/>
          <w:szCs w:val="22"/>
          <w:color w:val="auto"/>
        </w:rPr>
        <w:t>Nissan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и </w:t>
      </w:r>
      <w:r>
        <w:rPr>
          <w:rFonts w:ascii="Calibri" w:cs="Calibri" w:eastAsia="Calibri" w:hAnsi="Calibri"/>
          <w:sz w:val="22"/>
          <w:szCs w:val="22"/>
          <w:color w:val="auto"/>
        </w:rPr>
        <w:t>Canon).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Большинство экономистов считают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что модель кэйрецу создает целый ряд конкурентных преимуществ для японских транснациональных компаний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действующих на международных рынках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Источник</w:t>
      </w:r>
      <w:r>
        <w:rPr>
          <w:rFonts w:ascii="Calibri" w:cs="Calibri" w:eastAsia="Calibri" w:hAnsi="Calibri"/>
          <w:sz w:val="22"/>
          <w:szCs w:val="22"/>
          <w:color w:val="auto"/>
        </w:rPr>
        <w:t>; Business Week, September 24, 1990.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Р</w:t>
      </w:r>
      <w:r>
        <w:rPr>
          <w:rFonts w:ascii="Calibri" w:cs="Calibri" w:eastAsia="Calibri" w:hAnsi="Calibri"/>
          <w:sz w:val="22"/>
          <w:szCs w:val="22"/>
          <w:color w:val="auto"/>
        </w:rPr>
        <w:t>. 98—108.</w:t>
      </w: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jc w:val="both"/>
        <w:ind w:left="260" w:right="500"/>
        <w:spacing w:after="0" w:line="261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Принцип конкуренции в данном случае очевиден</w:t>
      </w:r>
      <w:r>
        <w:rPr>
          <w:rFonts w:ascii="Calibri" w:cs="Calibri" w:eastAsia="Calibri" w:hAnsi="Calibri"/>
          <w:sz w:val="22"/>
          <w:szCs w:val="22"/>
          <w:color w:val="auto"/>
        </w:rPr>
        <w:t>: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ДТНК имеет в своем запасе целый арсенал средств для разгрома в долгосрочном аспекте ТНК и национальных компаний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работающих в одной отрасли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Тем не менее конкурентные преимущества ДТНК зависят от того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являются ли отрасли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в которых</w:t>
      </w:r>
    </w:p>
    <w:p>
      <w:pPr>
        <w:spacing w:after="0" w:line="267" w:lineRule="exact"/>
        <w:rPr>
          <w:sz w:val="20"/>
          <w:szCs w:val="20"/>
          <w:color w:val="auto"/>
        </w:rPr>
      </w:pPr>
    </w:p>
    <w:p>
      <w:pPr>
        <w:ind w:left="260" w:right="20"/>
        <w:spacing w:after="0" w:line="270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Конкурентные преимущества ДТНК основываются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как правило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на обмене технологиями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экономии на масштабе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использовании единой торговой марки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а также на проведении демпинговой политики при освоении рынков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>применяется стратегия связанной диверсификации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отраслями с глобальными масштабами конкуренции или по крайней мере близкими к этому состоянию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Только в этом случае централизованное руководство родственными предприятиями может привести к получению стратегических преимуществ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ДТНК наиболее конкурентоспособны в отраслях с большими возможностями для обмена технологиями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экономии на масштабе производства и для получения дополнительных выгод от использования единой торговой марки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58" w:lineRule="exact"/>
        <w:rPr>
          <w:sz w:val="20"/>
          <w:szCs w:val="20"/>
          <w:color w:val="auto"/>
        </w:rPr>
      </w:pPr>
    </w:p>
    <w:p>
      <w:pPr>
        <w:ind w:left="260" w:right="1060"/>
        <w:spacing w:after="0" w:line="23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ДТНК имеют также большие возможности в осуществлении демпинговой политики при проникновении на новые рынки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ind w:left="260" w:right="140"/>
        <w:spacing w:after="0" w:line="28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Однако субсидирование такой политики не может продолжаться до бесконечности</w:t>
      </w:r>
      <w:r>
        <w:rPr>
          <w:rFonts w:ascii="Calibri" w:cs="Calibri" w:eastAsia="Calibri" w:hAnsi="Calibri"/>
          <w:sz w:val="21"/>
          <w:szCs w:val="21"/>
          <w:color w:val="auto"/>
        </w:rPr>
        <w:t>.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Одно дело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направить часть прибыли существующих предприятий на покрытие оправданных краткосрочных убытков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возникающих при проникновении на новый товарный или географический рынок</w:t>
      </w:r>
      <w:r>
        <w:rPr>
          <w:rFonts w:ascii="Calibri" w:cs="Calibri" w:eastAsia="Calibri" w:hAnsi="Calibri"/>
          <w:sz w:val="21"/>
          <w:szCs w:val="21"/>
          <w:color w:val="auto"/>
        </w:rPr>
        <w:t>;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и совсем другое дело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неразборчиво тратить средства корпорации </w:t>
      </w:r>
      <w:r>
        <w:rPr>
          <w:rFonts w:ascii="Calibri" w:cs="Calibri" w:eastAsia="Calibri" w:hAnsi="Calibri"/>
          <w:sz w:val="21"/>
          <w:szCs w:val="21"/>
          <w:color w:val="auto"/>
        </w:rPr>
        <w:t>(</w:t>
      </w:r>
      <w:r>
        <w:rPr>
          <w:rFonts w:ascii="Calibri" w:cs="Calibri" w:eastAsia="Calibri" w:hAnsi="Calibri"/>
          <w:sz w:val="21"/>
          <w:szCs w:val="21"/>
          <w:color w:val="auto"/>
        </w:rPr>
        <w:t>ухудшая таким образом совокупные финансовые показатели</w:t>
      </w:r>
      <w:r>
        <w:rPr>
          <w:rFonts w:ascii="Calibri" w:cs="Calibri" w:eastAsia="Calibri" w:hAnsi="Calibri"/>
          <w:sz w:val="21"/>
          <w:szCs w:val="21"/>
          <w:color w:val="auto"/>
        </w:rPr>
        <w:t>)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для поддержания неразумно низких цен </w:t>
      </w:r>
      <w:r>
        <w:rPr>
          <w:rFonts w:ascii="Calibri" w:cs="Calibri" w:eastAsia="Calibri" w:hAnsi="Calibri"/>
          <w:sz w:val="21"/>
          <w:szCs w:val="21"/>
          <w:color w:val="auto"/>
        </w:rPr>
        <w:t>(</w:t>
      </w:r>
      <w:r>
        <w:rPr>
          <w:rFonts w:ascii="Calibri" w:cs="Calibri" w:eastAsia="Calibri" w:hAnsi="Calibri"/>
          <w:sz w:val="21"/>
          <w:szCs w:val="21"/>
          <w:color w:val="auto"/>
        </w:rPr>
        <w:t>даже во имя быстрого проникновения на рынок</w:t>
      </w:r>
      <w:r>
        <w:rPr>
          <w:rFonts w:ascii="Calibri" w:cs="Calibri" w:eastAsia="Calibri" w:hAnsi="Calibri"/>
          <w:sz w:val="21"/>
          <w:szCs w:val="21"/>
          <w:color w:val="auto"/>
        </w:rPr>
        <w:t>)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или для покрытия долгосрочных потерь</w:t>
      </w:r>
      <w:r>
        <w:rPr>
          <w:rFonts w:ascii="Calibri" w:cs="Calibri" w:eastAsia="Calibri" w:hAnsi="Calibri"/>
          <w:sz w:val="21"/>
          <w:szCs w:val="21"/>
          <w:color w:val="auto"/>
        </w:rPr>
        <w:t>.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В какой</w:t>
      </w:r>
      <w:r>
        <w:rPr>
          <w:rFonts w:ascii="Calibri" w:cs="Calibri" w:eastAsia="Calibri" w:hAnsi="Calibri"/>
          <w:sz w:val="21"/>
          <w:szCs w:val="21"/>
          <w:color w:val="auto"/>
        </w:rPr>
        <w:t>-</w:t>
      </w:r>
      <w:r>
        <w:rPr>
          <w:rFonts w:ascii="Calibri" w:cs="Calibri" w:eastAsia="Calibri" w:hAnsi="Calibri"/>
          <w:sz w:val="21"/>
          <w:szCs w:val="21"/>
          <w:color w:val="auto"/>
        </w:rPr>
        <w:t>то момент всякое предприятие должно начать приносить прибыть или оказаться за бортом корпорации</w:t>
      </w:r>
      <w:r>
        <w:rPr>
          <w:rFonts w:ascii="Calibri" w:cs="Calibri" w:eastAsia="Calibri" w:hAnsi="Calibri"/>
          <w:sz w:val="21"/>
          <w:szCs w:val="21"/>
          <w:color w:val="auto"/>
        </w:rPr>
        <w:t>.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Более того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хозяйственный портфель компании должен всегда иметь привлекательный вид</w:t>
      </w:r>
      <w:r>
        <w:rPr>
          <w:rFonts w:ascii="Calibri" w:cs="Calibri" w:eastAsia="Calibri" w:hAnsi="Calibri"/>
          <w:sz w:val="21"/>
          <w:szCs w:val="21"/>
          <w:color w:val="auto"/>
        </w:rPr>
        <w:t>.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Поэтому демпинг имеет свои ограничения</w:t>
      </w:r>
      <w:r>
        <w:rPr>
          <w:rFonts w:ascii="Calibri" w:cs="Calibri" w:eastAsia="Calibri" w:hAnsi="Calibri"/>
          <w:sz w:val="21"/>
          <w:szCs w:val="21"/>
          <w:color w:val="auto"/>
        </w:rPr>
        <w:t>.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Согласно общему правилу возможность демпинговой политики рассматривается лишь в случаях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когда существует высокая вероятность того</w:t>
      </w:r>
      <w:r>
        <w:rPr>
          <w:rFonts w:ascii="Calibri" w:cs="Calibri" w:eastAsia="Calibri" w:hAnsi="Calibri"/>
          <w:sz w:val="21"/>
          <w:szCs w:val="21"/>
          <w:color w:val="auto"/>
        </w:rPr>
        <w:t>,</w:t>
      </w:r>
      <w:r>
        <w:rPr>
          <w:rFonts w:ascii="Calibri" w:cs="Calibri" w:eastAsia="Calibri" w:hAnsi="Calibri"/>
          <w:sz w:val="21"/>
          <w:szCs w:val="21"/>
          <w:color w:val="auto"/>
        </w:rPr>
        <w:t xml:space="preserve"> что краткосрочные убытки могут быть в будущем компенсированы значительной прибылью</w:t>
      </w:r>
      <w:r>
        <w:rPr>
          <w:rFonts w:ascii="Calibri" w:cs="Calibri" w:eastAsia="Calibri" w:hAnsi="Calibri"/>
          <w:sz w:val="21"/>
          <w:szCs w:val="21"/>
          <w:color w:val="auto"/>
        </w:rPr>
        <w:t>.</w:t>
      </w:r>
    </w:p>
    <w:sectPr>
      <w:pgSz w:w="11900" w:h="16838" w:orient="portrait"/>
      <w:cols w:equalWidth="0" w:num="1">
        <w:col w:w="9600"/>
      </w:cols>
      <w:pgMar w:left="1440" w:top="1440" w:right="864" w:bottom="1066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В"/>
      <w:numFmt w:val="bullet"/>
      <w:start w:val="1"/>
    </w:lvl>
  </w:abstractNum>
  <w:abstractNum w:abstractNumId="1">
    <w:nsid w:val="6952"/>
    <w:multiLevelType w:val="hybridMultilevel"/>
    <w:lvl w:ilvl="0">
      <w:lvlJc w:val="left"/>
      <w:lvlText w:val="в"/>
      <w:numFmt w:val="bullet"/>
      <w:start w:val="1"/>
    </w:lvl>
  </w:abstractNum>
  <w:abstractNum w:abstractNumId="2">
    <w:nsid w:val="5F90"/>
    <w:multiLevelType w:val="hybridMultilevel"/>
    <w:lvl w:ilvl="0">
      <w:lvlJc w:val="left"/>
      <w:lvlText w:val="в"/>
      <w:numFmt w:val="bullet"/>
      <w:start w:val="1"/>
    </w:lvl>
  </w:abstractNum>
  <w:abstractNum w:abstractNumId="3">
    <w:nsid w:val="1649"/>
    <w:multiLevelType w:val="hybridMultilevel"/>
    <w:lvl w:ilvl="0">
      <w:lvlJc w:val="left"/>
      <w:lvlText w:val="В"/>
      <w:numFmt w:val="bullet"/>
      <w:start w:val="1"/>
    </w:lvl>
  </w:abstractNum>
  <w:abstractNum w:abstractNumId="4">
    <w:nsid w:val="6DF1"/>
    <w:multiLevelType w:val="hybridMultilevel"/>
    <w:lvl w:ilvl="0">
      <w:lvlJc w:val="left"/>
      <w:lvlText w:val="В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2020-04-09T11:08:15Z</dcterms:created>
  <dcterms:modified xsi:type="dcterms:W3CDTF">2020-04-09T11:08:15Z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