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9A" w:rsidRPr="002665F7" w:rsidRDefault="000F0B9A" w:rsidP="000F0B9A">
      <w:pPr>
        <w:spacing w:line="360" w:lineRule="auto"/>
        <w:ind w:firstLine="709"/>
        <w:jc w:val="center"/>
        <w:rPr>
          <w:b/>
          <w:i/>
          <w:u w:val="single"/>
        </w:rPr>
      </w:pPr>
      <w:r w:rsidRPr="002665F7">
        <w:rPr>
          <w:b/>
          <w:i/>
          <w:u w:val="single"/>
        </w:rPr>
        <w:t>Задание 3. Воспроизводство и движение основных средств</w:t>
      </w:r>
    </w:p>
    <w:p w:rsidR="000F0B9A" w:rsidRPr="006B7765" w:rsidRDefault="000F0B9A" w:rsidP="000F0B9A">
      <w:pPr>
        <w:spacing w:line="360" w:lineRule="auto"/>
        <w:ind w:firstLine="720"/>
        <w:jc w:val="both"/>
        <w:rPr>
          <w:i/>
        </w:rPr>
      </w:pPr>
      <w:r w:rsidRPr="006B7765">
        <w:rPr>
          <w:i/>
        </w:rPr>
        <w:t xml:space="preserve">На основе исходных данных, приведенных в ПРИЛОЖЕНИИ </w:t>
      </w:r>
      <w:r>
        <w:rPr>
          <w:i/>
        </w:rPr>
        <w:t>Б</w:t>
      </w:r>
      <w:r w:rsidRPr="006B7765">
        <w:rPr>
          <w:i/>
        </w:rPr>
        <w:t>, ра</w:t>
      </w:r>
      <w:r w:rsidRPr="006B7765">
        <w:rPr>
          <w:i/>
        </w:rPr>
        <w:t>с</w:t>
      </w:r>
      <w:r w:rsidRPr="006B7765">
        <w:rPr>
          <w:i/>
        </w:rPr>
        <w:t>считать показатели воспроизводства и движения основных средств.</w:t>
      </w:r>
    </w:p>
    <w:p w:rsidR="000F0B9A" w:rsidRDefault="000F0B9A" w:rsidP="000F0B9A">
      <w:pPr>
        <w:spacing w:line="360" w:lineRule="auto"/>
        <w:jc w:val="center"/>
        <w:rPr>
          <w:i/>
          <w:u w:val="single"/>
        </w:rPr>
      </w:pPr>
    </w:p>
    <w:p w:rsidR="000F0B9A" w:rsidRPr="004D646E" w:rsidRDefault="000F0B9A" w:rsidP="000F0B9A">
      <w:pPr>
        <w:spacing w:line="360" w:lineRule="auto"/>
        <w:jc w:val="center"/>
        <w:rPr>
          <w:i/>
          <w:u w:val="single"/>
        </w:rPr>
      </w:pPr>
      <w:r w:rsidRPr="004D646E">
        <w:rPr>
          <w:i/>
          <w:u w:val="single"/>
        </w:rPr>
        <w:t>Методические указания по выполнению практического задания</w:t>
      </w:r>
    </w:p>
    <w:p w:rsidR="000F0B9A" w:rsidRDefault="000F0B9A" w:rsidP="000F0B9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Процесс воспроизводства основных средств можно представить в виде следующей формулы:</w:t>
      </w:r>
    </w:p>
    <w:p w:rsidR="000F0B9A" w:rsidRDefault="000F0B9A" w:rsidP="000F0B9A">
      <w:pPr>
        <w:spacing w:line="360" w:lineRule="auto"/>
        <w:ind w:firstLine="720"/>
        <w:jc w:val="right"/>
        <w:rPr>
          <w:szCs w:val="28"/>
        </w:rPr>
      </w:pPr>
      <w:proofErr w:type="spellStart"/>
      <w:r w:rsidRPr="007F10AD">
        <w:rPr>
          <w:i/>
          <w:szCs w:val="28"/>
        </w:rPr>
        <w:t>Ф</w:t>
      </w:r>
      <w:r w:rsidRPr="007F10AD">
        <w:rPr>
          <w:i/>
          <w:szCs w:val="28"/>
          <w:vertAlign w:val="subscript"/>
        </w:rPr>
        <w:t>к</w:t>
      </w:r>
      <w:proofErr w:type="spellEnd"/>
      <w:r w:rsidRPr="007F10AD">
        <w:rPr>
          <w:i/>
          <w:szCs w:val="28"/>
        </w:rPr>
        <w:t xml:space="preserve"> = </w:t>
      </w:r>
      <w:proofErr w:type="spellStart"/>
      <w:r w:rsidRPr="007F10AD">
        <w:rPr>
          <w:i/>
          <w:szCs w:val="28"/>
        </w:rPr>
        <w:t>Ф</w:t>
      </w:r>
      <w:r w:rsidRPr="007F10AD">
        <w:rPr>
          <w:i/>
          <w:szCs w:val="28"/>
          <w:vertAlign w:val="subscript"/>
        </w:rPr>
        <w:t>н</w:t>
      </w:r>
      <w:proofErr w:type="spellEnd"/>
      <w:r w:rsidRPr="007F10AD">
        <w:rPr>
          <w:i/>
          <w:szCs w:val="28"/>
        </w:rPr>
        <w:t xml:space="preserve"> + </w:t>
      </w:r>
      <w:proofErr w:type="spellStart"/>
      <w:r w:rsidRPr="007F10AD">
        <w:rPr>
          <w:i/>
          <w:szCs w:val="28"/>
        </w:rPr>
        <w:t>Ф</w:t>
      </w:r>
      <w:r w:rsidRPr="007F10AD">
        <w:rPr>
          <w:i/>
          <w:szCs w:val="28"/>
          <w:vertAlign w:val="subscript"/>
        </w:rPr>
        <w:t>в</w:t>
      </w:r>
      <w:proofErr w:type="spellEnd"/>
      <w:r w:rsidRPr="007F10AD">
        <w:rPr>
          <w:i/>
          <w:szCs w:val="28"/>
        </w:rPr>
        <w:t xml:space="preserve"> – </w:t>
      </w:r>
      <w:proofErr w:type="spellStart"/>
      <w:r w:rsidRPr="007F10AD">
        <w:rPr>
          <w:i/>
          <w:szCs w:val="28"/>
        </w:rPr>
        <w:t>Ф</w:t>
      </w:r>
      <w:r w:rsidRPr="007F10AD">
        <w:rPr>
          <w:i/>
          <w:szCs w:val="28"/>
          <w:vertAlign w:val="subscript"/>
        </w:rPr>
        <w:t>л</w:t>
      </w:r>
      <w:proofErr w:type="spellEnd"/>
      <w:r>
        <w:rPr>
          <w:szCs w:val="28"/>
        </w:rPr>
        <w:t xml:space="preserve">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(3.1)</w:t>
      </w:r>
    </w:p>
    <w:p w:rsidR="000F0B9A" w:rsidRDefault="000F0B9A" w:rsidP="000F0B9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где    </w:t>
      </w:r>
      <w:proofErr w:type="spellStart"/>
      <w:r w:rsidRPr="007F10AD">
        <w:rPr>
          <w:i/>
          <w:szCs w:val="28"/>
        </w:rPr>
        <w:t>Ф</w:t>
      </w:r>
      <w:r w:rsidRPr="007F10AD">
        <w:rPr>
          <w:i/>
          <w:szCs w:val="28"/>
          <w:vertAlign w:val="subscript"/>
        </w:rPr>
        <w:t>к</w:t>
      </w:r>
      <w:proofErr w:type="spellEnd"/>
      <w:r>
        <w:rPr>
          <w:szCs w:val="28"/>
        </w:rPr>
        <w:t xml:space="preserve"> – стоимость основных фондов на конец года,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уб.;</w:t>
      </w:r>
    </w:p>
    <w:p w:rsidR="000F0B9A" w:rsidRDefault="000F0B9A" w:rsidP="000F0B9A">
      <w:pPr>
        <w:spacing w:line="360" w:lineRule="auto"/>
        <w:ind w:firstLine="720"/>
        <w:jc w:val="both"/>
        <w:rPr>
          <w:szCs w:val="28"/>
        </w:rPr>
      </w:pPr>
      <w:proofErr w:type="spellStart"/>
      <w:r w:rsidRPr="007F10AD">
        <w:rPr>
          <w:i/>
          <w:szCs w:val="28"/>
        </w:rPr>
        <w:t>Ф</w:t>
      </w:r>
      <w:r w:rsidRPr="007F10AD">
        <w:rPr>
          <w:i/>
          <w:szCs w:val="28"/>
          <w:vertAlign w:val="subscript"/>
        </w:rPr>
        <w:t>н</w:t>
      </w:r>
      <w:proofErr w:type="spellEnd"/>
      <w:r>
        <w:rPr>
          <w:szCs w:val="28"/>
        </w:rPr>
        <w:t xml:space="preserve"> – стоимость основных фондов на начало года,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уб.;</w:t>
      </w:r>
    </w:p>
    <w:p w:rsidR="000F0B9A" w:rsidRDefault="000F0B9A" w:rsidP="000F0B9A">
      <w:pPr>
        <w:spacing w:line="360" w:lineRule="auto"/>
        <w:ind w:firstLine="720"/>
        <w:jc w:val="both"/>
        <w:rPr>
          <w:szCs w:val="28"/>
        </w:rPr>
      </w:pPr>
      <w:proofErr w:type="spellStart"/>
      <w:r w:rsidRPr="007F10AD">
        <w:rPr>
          <w:i/>
          <w:szCs w:val="28"/>
        </w:rPr>
        <w:t>Ф</w:t>
      </w:r>
      <w:r w:rsidRPr="007F10AD">
        <w:rPr>
          <w:i/>
          <w:szCs w:val="28"/>
          <w:vertAlign w:val="subscript"/>
        </w:rPr>
        <w:t>в</w:t>
      </w:r>
      <w:proofErr w:type="spellEnd"/>
      <w:r>
        <w:rPr>
          <w:szCs w:val="28"/>
        </w:rPr>
        <w:t xml:space="preserve"> – стоимость основных фондов, введенных в эксплуатацию (прио</w:t>
      </w:r>
      <w:r>
        <w:rPr>
          <w:szCs w:val="28"/>
        </w:rPr>
        <w:t>б</w:t>
      </w:r>
      <w:r>
        <w:rPr>
          <w:szCs w:val="28"/>
        </w:rPr>
        <w:t>ретенных) в течение года,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уб.;</w:t>
      </w:r>
    </w:p>
    <w:p w:rsidR="000F0B9A" w:rsidRDefault="000F0B9A" w:rsidP="000F0B9A">
      <w:pPr>
        <w:spacing w:line="360" w:lineRule="auto"/>
        <w:ind w:firstLine="720"/>
        <w:jc w:val="both"/>
        <w:rPr>
          <w:szCs w:val="28"/>
        </w:rPr>
      </w:pPr>
      <w:proofErr w:type="spellStart"/>
      <w:r w:rsidRPr="007F10AD">
        <w:rPr>
          <w:i/>
          <w:szCs w:val="28"/>
        </w:rPr>
        <w:t>Ф</w:t>
      </w:r>
      <w:r w:rsidRPr="007F10AD">
        <w:rPr>
          <w:i/>
          <w:szCs w:val="28"/>
          <w:vertAlign w:val="subscript"/>
        </w:rPr>
        <w:t>л</w:t>
      </w:r>
      <w:proofErr w:type="spellEnd"/>
      <w:r>
        <w:rPr>
          <w:szCs w:val="28"/>
        </w:rPr>
        <w:t xml:space="preserve"> – стоимость основных фондов, выведенных из баланса (ликвидир</w:t>
      </w:r>
      <w:r>
        <w:rPr>
          <w:szCs w:val="28"/>
        </w:rPr>
        <w:t>о</w:t>
      </w:r>
      <w:r>
        <w:rPr>
          <w:szCs w:val="28"/>
        </w:rPr>
        <w:t>ванных) в течение года,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0F0B9A" w:rsidRDefault="000F0B9A" w:rsidP="000F0B9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Для характеристики процесса воспроизводства основных средств мо</w:t>
      </w:r>
      <w:r>
        <w:rPr>
          <w:szCs w:val="28"/>
        </w:rPr>
        <w:t>ж</w:t>
      </w:r>
      <w:r>
        <w:rPr>
          <w:szCs w:val="28"/>
        </w:rPr>
        <w:t>но использовать следующие показатели: коэффициент обновления основных средств (</w:t>
      </w:r>
      <w:proofErr w:type="spellStart"/>
      <w:r w:rsidRPr="007F10AD">
        <w:rPr>
          <w:i/>
          <w:szCs w:val="28"/>
        </w:rPr>
        <w:t>К</w:t>
      </w:r>
      <w:r w:rsidRPr="007F10AD">
        <w:rPr>
          <w:i/>
          <w:szCs w:val="28"/>
          <w:vertAlign w:val="subscript"/>
        </w:rPr>
        <w:t>обн</w:t>
      </w:r>
      <w:proofErr w:type="spellEnd"/>
      <w:r>
        <w:rPr>
          <w:szCs w:val="28"/>
        </w:rPr>
        <w:t>), срок обновления основных средств (</w:t>
      </w:r>
      <w:proofErr w:type="spellStart"/>
      <w:r w:rsidRPr="007F10AD">
        <w:rPr>
          <w:i/>
          <w:szCs w:val="28"/>
        </w:rPr>
        <w:t>Т</w:t>
      </w:r>
      <w:r w:rsidRPr="007F10AD">
        <w:rPr>
          <w:i/>
          <w:szCs w:val="28"/>
          <w:vertAlign w:val="subscript"/>
        </w:rPr>
        <w:t>обн</w:t>
      </w:r>
      <w:proofErr w:type="spellEnd"/>
      <w:r>
        <w:rPr>
          <w:szCs w:val="28"/>
        </w:rPr>
        <w:t>), коэффициент выб</w:t>
      </w:r>
      <w:r>
        <w:rPr>
          <w:szCs w:val="28"/>
        </w:rPr>
        <w:t>ы</w:t>
      </w:r>
      <w:r>
        <w:rPr>
          <w:szCs w:val="28"/>
        </w:rPr>
        <w:t>тия основных средств (</w:t>
      </w:r>
      <w:proofErr w:type="spellStart"/>
      <w:r w:rsidRPr="007F10AD">
        <w:rPr>
          <w:i/>
          <w:szCs w:val="28"/>
        </w:rPr>
        <w:t>К</w:t>
      </w:r>
      <w:r w:rsidRPr="007F10AD">
        <w:rPr>
          <w:i/>
          <w:szCs w:val="28"/>
          <w:vertAlign w:val="subscript"/>
        </w:rPr>
        <w:t>выб</w:t>
      </w:r>
      <w:proofErr w:type="spellEnd"/>
      <w:r>
        <w:rPr>
          <w:szCs w:val="28"/>
        </w:rPr>
        <w:t>), коэффициент прироста основных средств (</w:t>
      </w:r>
      <w:proofErr w:type="spellStart"/>
      <w:r w:rsidRPr="007F10AD">
        <w:rPr>
          <w:i/>
          <w:szCs w:val="28"/>
        </w:rPr>
        <w:t>К</w:t>
      </w:r>
      <w:r w:rsidRPr="007F10AD">
        <w:rPr>
          <w:i/>
          <w:szCs w:val="28"/>
          <w:vertAlign w:val="subscript"/>
        </w:rPr>
        <w:t>пр</w:t>
      </w:r>
      <w:proofErr w:type="spellEnd"/>
      <w:r>
        <w:rPr>
          <w:szCs w:val="28"/>
        </w:rPr>
        <w:t>):</w:t>
      </w:r>
    </w:p>
    <w:p w:rsidR="000F0B9A" w:rsidRDefault="000F0B9A" w:rsidP="000F0B9A">
      <w:pPr>
        <w:spacing w:line="360" w:lineRule="auto"/>
        <w:ind w:firstLine="720"/>
        <w:jc w:val="right"/>
      </w:pPr>
      <w:r w:rsidRPr="004E48BE">
        <w:rPr>
          <w:position w:val="-30"/>
        </w:rPr>
        <w:object w:dxaOrig="1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5.25pt" o:ole="">
            <v:imagedata r:id="rId4" o:title=""/>
          </v:shape>
          <o:OLEObject Type="Embed" ProgID="Equation.3" ShapeID="_x0000_i1025" DrawAspect="Content" ObjectID="_1646565103" r:id="rId5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  <w:t>(3.2)</w:t>
      </w:r>
    </w:p>
    <w:p w:rsidR="000F0B9A" w:rsidRDefault="000F0B9A" w:rsidP="000F0B9A">
      <w:pPr>
        <w:spacing w:line="360" w:lineRule="auto"/>
        <w:ind w:firstLine="720"/>
        <w:jc w:val="right"/>
      </w:pPr>
      <w:r w:rsidRPr="004E48BE">
        <w:rPr>
          <w:position w:val="-30"/>
        </w:rPr>
        <w:object w:dxaOrig="1040" w:dyaOrig="700">
          <v:shape id="_x0000_i1026" type="#_x0000_t75" style="width:51.75pt;height:35.25pt" o:ole="">
            <v:imagedata r:id="rId6" o:title=""/>
          </v:shape>
          <o:OLEObject Type="Embed" ProgID="Equation.3" ShapeID="_x0000_i1026" DrawAspect="Content" ObjectID="_1646565104" r:id="rId7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  <w:t>(3.3)</w:t>
      </w:r>
    </w:p>
    <w:p w:rsidR="000F0B9A" w:rsidRPr="00F31F6A" w:rsidRDefault="000F0B9A" w:rsidP="000F0B9A">
      <w:pPr>
        <w:spacing w:line="360" w:lineRule="auto"/>
        <w:ind w:firstLine="720"/>
        <w:jc w:val="right"/>
        <w:rPr>
          <w:szCs w:val="28"/>
        </w:rPr>
      </w:pPr>
      <w:r w:rsidRPr="00704CF9">
        <w:rPr>
          <w:position w:val="-30"/>
        </w:rPr>
        <w:object w:dxaOrig="1100" w:dyaOrig="700">
          <v:shape id="_x0000_i1027" type="#_x0000_t75" style="width:54.75pt;height:35.25pt" o:ole="">
            <v:imagedata r:id="rId8" o:title=""/>
          </v:shape>
          <o:OLEObject Type="Embed" ProgID="Equation.3" ShapeID="_x0000_i1027" DrawAspect="Content" ObjectID="_1646565105" r:id="rId9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  <w:t>(3.4)</w:t>
      </w:r>
    </w:p>
    <w:p w:rsidR="000F0B9A" w:rsidRPr="00F31F6A" w:rsidRDefault="000F0B9A" w:rsidP="000F0B9A">
      <w:pPr>
        <w:spacing w:line="360" w:lineRule="auto"/>
        <w:ind w:firstLine="720"/>
        <w:jc w:val="right"/>
        <w:rPr>
          <w:szCs w:val="28"/>
        </w:rPr>
      </w:pPr>
      <w:r w:rsidRPr="004E48BE">
        <w:rPr>
          <w:position w:val="-30"/>
        </w:rPr>
        <w:object w:dxaOrig="1520" w:dyaOrig="700">
          <v:shape id="_x0000_i1028" type="#_x0000_t75" style="width:75.75pt;height:35.25pt" o:ole="">
            <v:imagedata r:id="rId10" o:title=""/>
          </v:shape>
          <o:OLEObject Type="Embed" ProgID="Equation.3" ShapeID="_x0000_i1028" DrawAspect="Content" ObjectID="_1646565106" r:id="rId11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(3.5)</w:t>
      </w:r>
    </w:p>
    <w:p w:rsidR="000F0B9A" w:rsidRDefault="000F0B9A" w:rsidP="000F0B9A">
      <w:pPr>
        <w:spacing w:line="360" w:lineRule="auto"/>
        <w:jc w:val="both"/>
      </w:pPr>
    </w:p>
    <w:p w:rsidR="00A11D0E" w:rsidRDefault="00A11D0E"/>
    <w:sectPr w:rsidR="00A11D0E" w:rsidSect="00CF232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0F0B9A"/>
    <w:rsid w:val="000F0B9A"/>
    <w:rsid w:val="001F6396"/>
    <w:rsid w:val="003609AD"/>
    <w:rsid w:val="006535EC"/>
    <w:rsid w:val="006E5263"/>
    <w:rsid w:val="00803F1C"/>
    <w:rsid w:val="00A11D0E"/>
    <w:rsid w:val="00C06204"/>
    <w:rsid w:val="00CF2323"/>
    <w:rsid w:val="00D940AF"/>
    <w:rsid w:val="00E918F2"/>
    <w:rsid w:val="00ED2A02"/>
    <w:rsid w:val="00F6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9A"/>
    <w:pPr>
      <w:spacing w:after="0" w:line="240" w:lineRule="auto"/>
    </w:pPr>
    <w:rPr>
      <w:rFonts w:eastAsia="Times New Roman"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2020-03-24T11:25:00Z</dcterms:created>
  <dcterms:modified xsi:type="dcterms:W3CDTF">2020-03-24T11:25:00Z</dcterms:modified>
</cp:coreProperties>
</file>