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624" w:rsidRPr="00032A27" w:rsidRDefault="008F5624" w:rsidP="008F5624">
      <w:pPr>
        <w:pStyle w:val="a3"/>
        <w:ind w:left="-1134" w:right="-1333" w:firstLine="425"/>
        <w:jc w:val="center"/>
        <w:rPr>
          <w:b/>
          <w:caps/>
          <w:szCs w:val="28"/>
        </w:rPr>
      </w:pPr>
      <w:r w:rsidRPr="00032A27">
        <w:rPr>
          <w:b/>
          <w:caps/>
          <w:szCs w:val="28"/>
        </w:rPr>
        <w:t>Эксплуатационные мероприятия по уменьшению загрязнения атмосферного воздуха и почв</w:t>
      </w:r>
    </w:p>
    <w:p w:rsidR="008F5624" w:rsidRDefault="008F5624" w:rsidP="008F5624">
      <w:pPr>
        <w:ind w:left="-1134" w:right="-1333" w:firstLine="425"/>
        <w:jc w:val="center"/>
        <w:rPr>
          <w:sz w:val="28"/>
        </w:rPr>
      </w:pPr>
    </w:p>
    <w:p w:rsidR="008F5624" w:rsidRDefault="008F5624" w:rsidP="008F5624">
      <w:pPr>
        <w:ind w:left="-1134" w:right="-1333" w:firstLine="425"/>
        <w:jc w:val="both"/>
        <w:rPr>
          <w:sz w:val="28"/>
        </w:rPr>
      </w:pPr>
    </w:p>
    <w:p w:rsidR="008F5624" w:rsidRDefault="008F5624" w:rsidP="008F5624">
      <w:pPr>
        <w:numPr>
          <w:ilvl w:val="0"/>
          <w:numId w:val="1"/>
        </w:numPr>
        <w:tabs>
          <w:tab w:val="clear" w:pos="1069"/>
          <w:tab w:val="num" w:pos="-142"/>
        </w:tabs>
        <w:ind w:left="-1134" w:right="-1333" w:firstLine="425"/>
        <w:jc w:val="both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>Снижение выбросов от подвижных источников</w:t>
      </w:r>
    </w:p>
    <w:p w:rsidR="008F5624" w:rsidRDefault="008F5624" w:rsidP="008F5624">
      <w:pPr>
        <w:numPr>
          <w:ilvl w:val="0"/>
          <w:numId w:val="1"/>
        </w:numPr>
        <w:tabs>
          <w:tab w:val="clear" w:pos="1069"/>
          <w:tab w:val="num" w:pos="-142"/>
        </w:tabs>
        <w:ind w:left="-1134" w:right="-1333" w:firstLine="425"/>
        <w:jc w:val="both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>Снижение выбросов от стационарных источников</w:t>
      </w:r>
    </w:p>
    <w:p w:rsidR="008F5624" w:rsidRDefault="008F5624" w:rsidP="008F5624">
      <w:pPr>
        <w:numPr>
          <w:ilvl w:val="0"/>
          <w:numId w:val="1"/>
        </w:numPr>
        <w:tabs>
          <w:tab w:val="clear" w:pos="1069"/>
          <w:tab w:val="num" w:pos="-142"/>
        </w:tabs>
        <w:ind w:left="-1134" w:right="-1333" w:firstLine="425"/>
        <w:jc w:val="both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>Охрана земель</w:t>
      </w:r>
    </w:p>
    <w:p w:rsidR="008F5624" w:rsidRDefault="008F5624" w:rsidP="008F5624">
      <w:pPr>
        <w:numPr>
          <w:ilvl w:val="0"/>
          <w:numId w:val="1"/>
        </w:numPr>
        <w:tabs>
          <w:tab w:val="clear" w:pos="1069"/>
          <w:tab w:val="num" w:pos="-142"/>
        </w:tabs>
        <w:ind w:left="-1134" w:right="-1333" w:firstLine="425"/>
        <w:jc w:val="both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>Мероприятия в зонах аварий автотранспортных средств</w:t>
      </w:r>
    </w:p>
    <w:p w:rsidR="008F5624" w:rsidRDefault="008F5624" w:rsidP="008F5624">
      <w:pPr>
        <w:ind w:left="-1134" w:right="-1333" w:firstLine="425"/>
        <w:jc w:val="both"/>
        <w:rPr>
          <w:sz w:val="28"/>
        </w:rPr>
      </w:pPr>
    </w:p>
    <w:p w:rsidR="008F5624" w:rsidRDefault="008F5624" w:rsidP="008F5624">
      <w:pPr>
        <w:ind w:left="-1134" w:right="-1333" w:firstLine="425"/>
        <w:jc w:val="center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>1. Снижение выбросов от подвижных источников</w:t>
      </w:r>
    </w:p>
    <w:p w:rsidR="008F5624" w:rsidRDefault="008F5624" w:rsidP="008F5624">
      <w:pPr>
        <w:ind w:left="-1134" w:right="-1333" w:firstLine="425"/>
        <w:jc w:val="both"/>
        <w:rPr>
          <w:sz w:val="28"/>
        </w:rPr>
      </w:pPr>
    </w:p>
    <w:p w:rsidR="008F5624" w:rsidRDefault="008F5624" w:rsidP="008F5624">
      <w:pPr>
        <w:ind w:left="-1134" w:right="-1333" w:firstLine="425"/>
        <w:jc w:val="both"/>
        <w:rPr>
          <w:sz w:val="28"/>
        </w:rPr>
      </w:pPr>
      <w:r>
        <w:rPr>
          <w:sz w:val="28"/>
        </w:rPr>
        <w:t xml:space="preserve">Продолжительная эксплуатация транспортных средств приводит к изменению технического состояния и регулировочных параметров ДВС. Токсичные атмосферные выбросы подвижного состава растут быстрее их физического износа и старения. Например, для автомобилей только в первые 1 </w:t>
      </w:r>
      <w:r>
        <w:rPr>
          <w:sz w:val="28"/>
        </w:rPr>
        <w:noBreakHyphen/>
        <w:t xml:space="preserve"> 3 года можно поддерживать уровень выбросов, гарантированный предприятием-изготовителем. В процессе эксплуатации текущие неисправности и нарушения регулировок приводят к ухудшению показателей токсичности и топливной экономичности. Плохие дорожные и климатические условия (в ряде регионов долгий и холодный зимний период), низкое качество топливно-смазочных материалов приводят к ускоренному износу узлов и агрегатов подвижного состава и увеличению выбросов. Недостаточно качественное техническое обслуживание и ремонт, нехватка современного оборудования и квалифицированного персонала не обеспечивают в должной мере восстановление работоспособности транспорта.</w:t>
      </w:r>
    </w:p>
    <w:p w:rsidR="008F5624" w:rsidRDefault="008F5624" w:rsidP="008F5624">
      <w:pPr>
        <w:ind w:left="-1134" w:right="-1333" w:firstLine="425"/>
        <w:jc w:val="both"/>
        <w:rPr>
          <w:sz w:val="28"/>
        </w:rPr>
      </w:pPr>
      <w:r>
        <w:rPr>
          <w:sz w:val="28"/>
        </w:rPr>
        <w:t>В карбюраторных автомобилях отклонения в системе питания двигателя повышают токсичность выбросов на 30 – 40 %, в системе зажигания – на 25 – 30 %, в механической части двигателя – на 20 – 25 %, в трансмиссии и ходовой части – на 15 %. Наибольшее влияние на превышение выбросов оксида углерода оказывает нарушение регулировок в системе питания: нормы стандарта могут быть превышены на 70 % и более.</w:t>
      </w:r>
    </w:p>
    <w:p w:rsidR="008F5624" w:rsidRDefault="008F5624" w:rsidP="008F5624">
      <w:pPr>
        <w:ind w:left="-1134" w:right="-1333" w:firstLine="425"/>
        <w:jc w:val="both"/>
        <w:rPr>
          <w:sz w:val="28"/>
        </w:rPr>
      </w:pPr>
      <w:r>
        <w:rPr>
          <w:sz w:val="28"/>
        </w:rPr>
        <w:t>В дизелях практически любая неисправность топливоподающей системы влияет на расход топлива и дымность. Например, увеличение цикловой подачи сверх номинальной на 25 % повышает дымность отработавших газов на 40 %. В результате естественного износа деталей топливной аппаратуры расход топлива к моменту исчерпания ресурса возрастает на 8 – 10 %, дымность – на 20 – 30 %.</w:t>
      </w:r>
    </w:p>
    <w:p w:rsidR="008F5624" w:rsidRDefault="008F5624" w:rsidP="008F5624">
      <w:pPr>
        <w:ind w:left="-1134" w:right="-1333" w:firstLine="425"/>
        <w:jc w:val="both"/>
        <w:rPr>
          <w:sz w:val="28"/>
        </w:rPr>
      </w:pPr>
      <w:r>
        <w:rPr>
          <w:sz w:val="28"/>
        </w:rPr>
        <w:t>Для поддержания экологических параметров транспортных средств в эксплуатации на допустимом уровне необходим периодический контроль технического состояния транспортных средств с использованием диагностирования. На автомобильном транспорте диагностическое оборудование для контроля технического состояния и регулировки автомобилей включает диагностические стенды для грузовых автомобилей и автобусов, стенды обкатки и испытания двигателей, стенды для проверки форсунок, измерительные приборы для контроля электрооборудования и др.</w:t>
      </w:r>
    </w:p>
    <w:p w:rsidR="008F5624" w:rsidRDefault="008F5624" w:rsidP="008F5624">
      <w:pPr>
        <w:ind w:left="-1134" w:right="-1333" w:firstLine="425"/>
        <w:jc w:val="both"/>
        <w:rPr>
          <w:sz w:val="28"/>
        </w:rPr>
      </w:pPr>
      <w:r>
        <w:rPr>
          <w:sz w:val="28"/>
        </w:rPr>
        <w:t>Измерения загрязняющих веществ в отработавших газах карбюраторных двигателей проводят с помощью газоанализаторов. Дымность отработавших газов дизелей определяют с помощью различных приборов замера дымности.</w:t>
      </w:r>
    </w:p>
    <w:p w:rsidR="008F5624" w:rsidRDefault="008F5624" w:rsidP="008F5624">
      <w:pPr>
        <w:ind w:left="-1134" w:right="-1333" w:firstLine="425"/>
        <w:jc w:val="both"/>
        <w:rPr>
          <w:sz w:val="28"/>
        </w:rPr>
      </w:pPr>
      <w:r>
        <w:rPr>
          <w:sz w:val="28"/>
        </w:rPr>
        <w:lastRenderedPageBreak/>
        <w:t>Контроль токсичности проводится на предприятиях транспорта в процессе технического обслуживания. Однако обеспеченность транспортных предприятий аппаратурой контроля токсичности крайне низка. Для легковых автомобилей в городах организуются посты экологического экспресс-контроля и экспресс-сервиса. Действуют передвижные лаборатории, которые проводят проверки качества топлива на лицензируемых АЭС. В локомотивных депо организованы пункты экологического контроля отработавших газов дизелей на дымность, содержание оксидов углерода и азота.</w:t>
      </w:r>
    </w:p>
    <w:p w:rsidR="008F5624" w:rsidRDefault="008F5624" w:rsidP="008F5624">
      <w:pPr>
        <w:ind w:left="-1134" w:right="-1333" w:firstLine="425"/>
        <w:jc w:val="both"/>
        <w:rPr>
          <w:sz w:val="28"/>
        </w:rPr>
      </w:pPr>
    </w:p>
    <w:p w:rsidR="008F5624" w:rsidRDefault="008F5624" w:rsidP="008F5624">
      <w:pPr>
        <w:ind w:left="-1134" w:right="-1333" w:firstLine="425"/>
        <w:jc w:val="center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>2. Снижение выбросов от стационарных источников</w:t>
      </w:r>
    </w:p>
    <w:p w:rsidR="008F5624" w:rsidRDefault="008F5624" w:rsidP="008F5624">
      <w:pPr>
        <w:ind w:left="-1134" w:right="-1333" w:firstLine="425"/>
        <w:jc w:val="both"/>
        <w:rPr>
          <w:sz w:val="28"/>
        </w:rPr>
      </w:pPr>
    </w:p>
    <w:p w:rsidR="008F5624" w:rsidRDefault="008F5624" w:rsidP="008F5624">
      <w:pPr>
        <w:ind w:left="-1134" w:right="-1333" w:firstLine="425"/>
        <w:jc w:val="both"/>
        <w:rPr>
          <w:sz w:val="28"/>
        </w:rPr>
      </w:pPr>
      <w:r>
        <w:rPr>
          <w:sz w:val="28"/>
        </w:rPr>
        <w:t>Большое внимание на практике уделяется снижению выбросов от стационарных источников, внедрению защитных устройств, очистных установок и средств контроля на эксплуатационных и ремонтных предприятиях транспорта, рассредоточению экологически опасных производств по территории предприятия, ликвидации источников загрязнения и др.</w:t>
      </w:r>
    </w:p>
    <w:p w:rsidR="008F5624" w:rsidRDefault="008F5624" w:rsidP="008F5624">
      <w:pPr>
        <w:ind w:left="-1134" w:right="-1333" w:firstLine="425"/>
        <w:jc w:val="both"/>
        <w:rPr>
          <w:sz w:val="28"/>
        </w:rPr>
      </w:pPr>
      <w:r>
        <w:rPr>
          <w:sz w:val="28"/>
        </w:rPr>
        <w:t>В процессе эксплуатации транспортных средств необходимо проводить работы по обеспыливанию перегрузочных комплексов и дорог. Наиболее часто необходимость обеспыливания возникает на дорогах с гравийным, щебеночным, грунтовым покрытиями. Для них характерно наличие толстого слоя покровной пыли.</w:t>
      </w:r>
    </w:p>
    <w:p w:rsidR="008F5624" w:rsidRDefault="008F5624" w:rsidP="008F5624">
      <w:pPr>
        <w:ind w:left="-1134" w:right="-1333" w:firstLine="425"/>
        <w:jc w:val="both"/>
        <w:rPr>
          <w:sz w:val="28"/>
        </w:rPr>
      </w:pPr>
      <w:r>
        <w:rPr>
          <w:sz w:val="28"/>
        </w:rPr>
        <w:t>Обеспыливание преследует цель связать продукты износа материала покрытий и уменьшить концентрацию пыли. Это достигается: механическим удалением пыли, смыванием, втягиванием в вакуумные устройства; очисткой слоя пыли и продуктов поверхностного износа покрытия Механическими щетками; поверхностной обработкой или пропиткой покрытия связывающими материалами и химическими реагентами. Для автомобильных дорог и аэродромов эффективным способом обеспыливания является нанесение на покрытие органических вяжущих материалов – вязких и жидких битумов, дегтя и смол, нефти и др.</w:t>
      </w:r>
    </w:p>
    <w:p w:rsidR="008F5624" w:rsidRDefault="008F5624" w:rsidP="008F5624">
      <w:pPr>
        <w:ind w:left="-1134" w:right="-1333" w:firstLine="425"/>
        <w:jc w:val="both"/>
        <w:rPr>
          <w:sz w:val="28"/>
        </w:rPr>
      </w:pPr>
    </w:p>
    <w:p w:rsidR="008F5624" w:rsidRDefault="008F5624" w:rsidP="008F5624">
      <w:pPr>
        <w:ind w:left="-1134" w:right="-1333" w:firstLine="425"/>
        <w:jc w:val="center"/>
        <w:rPr>
          <w:b/>
          <w:bCs/>
          <w:i/>
          <w:iCs/>
          <w:sz w:val="28"/>
        </w:rPr>
      </w:pPr>
      <w:r>
        <w:rPr>
          <w:b/>
          <w:bCs/>
          <w:i/>
          <w:iCs/>
          <w:sz w:val="28"/>
        </w:rPr>
        <w:t>3. Охрана земель</w:t>
      </w:r>
    </w:p>
    <w:p w:rsidR="008F5624" w:rsidRDefault="008F5624" w:rsidP="008F5624">
      <w:pPr>
        <w:ind w:left="-1134" w:right="-1333" w:firstLine="425"/>
        <w:jc w:val="both"/>
        <w:rPr>
          <w:sz w:val="28"/>
        </w:rPr>
      </w:pPr>
    </w:p>
    <w:p w:rsidR="008F5624" w:rsidRDefault="008F5624" w:rsidP="008F5624">
      <w:pPr>
        <w:ind w:left="-1134" w:right="-1333" w:firstLine="425"/>
        <w:jc w:val="both"/>
        <w:rPr>
          <w:sz w:val="28"/>
        </w:rPr>
      </w:pPr>
      <w:r>
        <w:rPr>
          <w:sz w:val="28"/>
        </w:rPr>
        <w:t>Среди эксплуатационных мероприятий по повышению экологической безопасности важная роль отводится охране земель. Для разработки мер по защите почвенно-земельного покрова в зонах расположения транспортных предприятий осуществляется контроль его состояния с помощью отбора почвенных образцов. Так, в районах аэропортов для проверки качества почвы берут пробы по углам летного поля и в центре, рядом с взлетно-посадочной полосой. Наличие в пробах почвы хлорорганических пестицидов определяют методом газожидкостной хроматографии, содержание металлов – методом эмиссионного спектрального анализа.</w:t>
      </w:r>
    </w:p>
    <w:p w:rsidR="008F5624" w:rsidRDefault="008F5624" w:rsidP="008F5624">
      <w:pPr>
        <w:ind w:left="-1134" w:right="-1333" w:firstLine="425"/>
        <w:jc w:val="both"/>
        <w:rPr>
          <w:sz w:val="28"/>
        </w:rPr>
      </w:pPr>
      <w:r>
        <w:rPr>
          <w:sz w:val="28"/>
        </w:rPr>
        <w:t xml:space="preserve">В целях реализации экологических требований вводится запрет на закапывание в землю отходов производства, распыление ядохимикатов, слив в почву остатков кислот, электролита, нефтепродуктов и других агрессивных веществ. Химикаты и агрессивные жидкости должны обезвреживаться согласно Санитарным нормам. Слив отработанных </w:t>
      </w:r>
      <w:r>
        <w:rPr>
          <w:sz w:val="28"/>
        </w:rPr>
        <w:lastRenderedPageBreak/>
        <w:t>нефтепродуктов должен производиться в емкости. Мытье и дезактивацию специализированного подвижного состава разрешается проводить только на оборудованных площадках. Остро стоит задача утилизации твердых отходов, которые, например, в автотранспортном комплексе включают: автопокрышки – 1160 тыс. т; свинцовые аккумуляторы – 180</w:t>
      </w:r>
      <w:r>
        <w:rPr>
          <w:sz w:val="28"/>
        </w:rPr>
        <w:noBreakHyphen/>
        <w:t>200 тыс. т; отходы пластмасс – 60 тыс. т ежегодно.</w:t>
      </w:r>
    </w:p>
    <w:p w:rsidR="008F5624" w:rsidRDefault="008F5624" w:rsidP="008F5624">
      <w:pPr>
        <w:ind w:left="-1134" w:right="-1333" w:firstLine="425"/>
        <w:jc w:val="both"/>
        <w:rPr>
          <w:sz w:val="28"/>
        </w:rPr>
      </w:pPr>
      <w:r>
        <w:rPr>
          <w:sz w:val="28"/>
        </w:rPr>
        <w:t>Проблемы обезвреживания, переработки и захоронения отходов до конца не решены. Особенно это касается отходов с содержанием нефтепродуктов (шламов, замазученного грунта), котельных шлаков, золы.</w:t>
      </w:r>
    </w:p>
    <w:p w:rsidR="008F5624" w:rsidRDefault="008F5624" w:rsidP="008F5624">
      <w:pPr>
        <w:ind w:left="-1134" w:right="-1333" w:firstLine="425"/>
        <w:jc w:val="both"/>
        <w:rPr>
          <w:sz w:val="28"/>
        </w:rPr>
      </w:pPr>
      <w:r>
        <w:rPr>
          <w:sz w:val="28"/>
        </w:rPr>
        <w:t>Используются различные способы очистки, в том числе и биологические препараты.</w:t>
      </w:r>
    </w:p>
    <w:p w:rsidR="008F5624" w:rsidRDefault="008F5624" w:rsidP="008F5624">
      <w:pPr>
        <w:ind w:left="-1134" w:right="-1333" w:firstLine="425"/>
        <w:jc w:val="both"/>
        <w:rPr>
          <w:sz w:val="28"/>
        </w:rPr>
      </w:pPr>
      <w:r>
        <w:rPr>
          <w:sz w:val="28"/>
        </w:rPr>
        <w:t xml:space="preserve">Защита земель в полосах отвода автомобильных дорог осуществляется путем лесонасаждения, рекультивации земель с подсыпкой плодородного слоя почвы. Для снижения интенсивности эрозионных процессов реализуется "Программа по озеленению федеральных автомобильных дорог". Посадка деревьев и кустарников вдоль дорог и автомагистралей служит средством снегозадержания, способствует снижению транспортного шума и загрязнения атмосферного воздуха на придорожных территориях, повышает эстетическую привлекательность ландшафтов. В 1998 году на дорогах общего пользования восстановлено и посажено </w:t>
      </w:r>
      <w:smartTag w:uri="urn:schemas-microsoft-com:office:smarttags" w:element="metricconverter">
        <w:smartTagPr>
          <w:attr w:name="ProductID" w:val="168 км"/>
        </w:smartTagPr>
        <w:r>
          <w:rPr>
            <w:sz w:val="28"/>
          </w:rPr>
          <w:t>168 км</w:t>
        </w:r>
      </w:smartTag>
      <w:r>
        <w:rPr>
          <w:sz w:val="28"/>
        </w:rPr>
        <w:t xml:space="preserve"> лесозащитных полос. Земляное полотно, разделительные полосы, откосы насыпей и выемок укреплены путем засева травы на площади 1651 тыс. м</w:t>
      </w:r>
      <w:r>
        <w:rPr>
          <w:sz w:val="28"/>
          <w:vertAlign w:val="superscript"/>
        </w:rPr>
        <w:t>2</w:t>
      </w:r>
      <w:r>
        <w:rPr>
          <w:sz w:val="28"/>
        </w:rPr>
        <w:t>.</w:t>
      </w:r>
    </w:p>
    <w:p w:rsidR="008F5624" w:rsidRDefault="008F5624" w:rsidP="008F5624">
      <w:pPr>
        <w:ind w:left="-1134" w:right="-1333" w:firstLine="425"/>
        <w:jc w:val="both"/>
        <w:rPr>
          <w:sz w:val="28"/>
        </w:rPr>
      </w:pPr>
    </w:p>
    <w:p w:rsidR="008F5624" w:rsidRDefault="008F5624" w:rsidP="008F5624">
      <w:pPr>
        <w:pStyle w:val="2"/>
        <w:ind w:left="-1134" w:right="-1333" w:firstLine="425"/>
        <w:jc w:val="center"/>
      </w:pPr>
      <w:r>
        <w:t>4. Мероприятия в зонах аварий автотранспортных средств</w:t>
      </w:r>
    </w:p>
    <w:p w:rsidR="008F5624" w:rsidRDefault="008F5624" w:rsidP="008F5624">
      <w:pPr>
        <w:ind w:left="-1134" w:right="-1333" w:firstLine="425"/>
        <w:jc w:val="both"/>
        <w:rPr>
          <w:sz w:val="28"/>
        </w:rPr>
      </w:pPr>
    </w:p>
    <w:p w:rsidR="008F5624" w:rsidRDefault="008F5624" w:rsidP="008F5624">
      <w:pPr>
        <w:ind w:left="-1134" w:right="-1333" w:firstLine="425"/>
        <w:jc w:val="both"/>
        <w:rPr>
          <w:sz w:val="28"/>
        </w:rPr>
      </w:pPr>
      <w:r>
        <w:rPr>
          <w:sz w:val="28"/>
        </w:rPr>
        <w:t>Особую значимость имеют мероприятия по защите атмосферы и почв в зонах аварий транспортных средств, перевозящих опасные грузы.</w:t>
      </w:r>
    </w:p>
    <w:p w:rsidR="008F5624" w:rsidRDefault="008F5624" w:rsidP="008F5624">
      <w:pPr>
        <w:ind w:left="-1134" w:right="-1333" w:firstLine="425"/>
        <w:jc w:val="both"/>
        <w:rPr>
          <w:sz w:val="28"/>
        </w:rPr>
      </w:pPr>
      <w:r>
        <w:rPr>
          <w:sz w:val="28"/>
        </w:rPr>
        <w:t>Разработаны "Правила безопасности и порядок ликвидации аварийных ситуаций с опасными грузами при перевозке их по железным дорогам", а также руководство "Медицинские вопросы ликвидации последствий аварий на железнодорожном транспорте". На автотранспортных предприятиях требуется разработка методики действий по предотвращению возможного загрязнения окружающей среды. В них должны быть учтены характер перевозимых грузов, условия перевозки и другие факторы. Водителей автомобилей необходимо информировать о порядке действий в случае аварии, снабжать первичными средствами ликвидации ее последствий, если это технически возможно. При возникновении экологической аварии на АТП или вне его водитель или лицо, ответственное за природоохранную деятельность, должны сообщить о ней в местные (региональные) органы Госкомэкологии, службу санитарного надзора, а при крупной аварии – в соответствующие службы МЧС России.</w:t>
      </w:r>
    </w:p>
    <w:p w:rsidR="008F5624" w:rsidRDefault="008F5624" w:rsidP="008F5624">
      <w:pPr>
        <w:ind w:left="-1134" w:right="-1333" w:firstLine="425"/>
        <w:jc w:val="both"/>
        <w:rPr>
          <w:sz w:val="28"/>
        </w:rPr>
      </w:pPr>
      <w:r>
        <w:rPr>
          <w:sz w:val="28"/>
        </w:rPr>
        <w:t>Работы по защите от воздействия опасных грузов в зонах аварий включают отбор проб воздуха и почвы для определения степени загрязнения, обвалование мест разлива опасных грузов, создание котлованов и искусственных ловушек для сбора жидкости, сооружение траншей, дамб для предотвращения попадания опасных веществ в поверхностные водоемы с дождевой и талой водой, сбор, перетаривание, утилизацию и обеззараживание остатков опасных грузов. Загрязненный в результате аварии грунт собирается и вывозится, а на его место завозится свежий.</w:t>
      </w:r>
    </w:p>
    <w:p w:rsidR="008F5624" w:rsidRDefault="008F5624" w:rsidP="008F5624">
      <w:pPr>
        <w:ind w:left="-1134" w:right="-1333" w:firstLine="425"/>
        <w:jc w:val="both"/>
        <w:rPr>
          <w:sz w:val="28"/>
        </w:rPr>
      </w:pPr>
      <w:r>
        <w:rPr>
          <w:sz w:val="28"/>
        </w:rPr>
        <w:lastRenderedPageBreak/>
        <w:t>Большую трудность при проведении мероприятий в зонах аварий представляют обезвреживание и захоронение остатков опасных грузов и тары, в которой они перевозились. Обезвреживание традиционно проводится с использованием растворов щелочей (3 %-ная каустическая сода, 5 %-ная кальцинированная сода, 10 %-ная свежегашеная известь) и водного раствора хлорной извести.</w:t>
      </w:r>
    </w:p>
    <w:p w:rsidR="008F5624" w:rsidRDefault="008F5624" w:rsidP="008F5624">
      <w:pPr>
        <w:ind w:left="-1134" w:right="-1333" w:firstLine="425"/>
        <w:jc w:val="both"/>
        <w:rPr>
          <w:sz w:val="28"/>
        </w:rPr>
      </w:pPr>
      <w:r>
        <w:rPr>
          <w:sz w:val="28"/>
        </w:rPr>
        <w:t>Методы обезвреживания таких опасных веществ, как ртуть, мышьяк, цианистые соединения, сероуглерод, этилированный бензин и другие хорошо разработаны, но применение их осложняется трудностями обеспечения технологии протекания реакций при больших разливах в конкретных условиях на местности. Не хватает техники для ликвидации последствий аварий, работа практически ведется вручную. Важную роль для ликвидации аварий играет точное знание всего Перечня грузов, относимых к опасным, и методов их обезвреживания. ООН составлен Международный перечень наиболее часто перевозимых опасных грузов, содержащий около 3000 наименований. Отечественный алфавитный перечень опасных грузов, допущенных к перевозке по железным дорогам в крытых вагонах и контейнерах, приведен в Правилах перевозок опасных грузов и включает около 800 наименований. Органами Госсанэпиднадзора Минздрава России и Госкомэкологии России ведется Регистр потенциально опасных химических и биологических веществ. Указатели опасных грузов способствуют определению мер борьбы с загрязнениями.</w:t>
      </w:r>
    </w:p>
    <w:p w:rsidR="008F5624" w:rsidRDefault="008F5624" w:rsidP="008F5624"/>
    <w:p w:rsidR="006C6424" w:rsidRDefault="006C6424"/>
    <w:sectPr w:rsidR="006C6424" w:rsidSect="008B3271">
      <w:footerReference w:type="default" r:id="rId5"/>
      <w:pgSz w:w="11906" w:h="16838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9E0" w:rsidRDefault="008F5624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:rsidR="000269E0" w:rsidRDefault="008F5624">
    <w:pPr>
      <w:pStyle w:val="a5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47EC7"/>
    <w:multiLevelType w:val="hybridMultilevel"/>
    <w:tmpl w:val="A31E3BB6"/>
    <w:lvl w:ilvl="0" w:tplc="4978D34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F5624"/>
    <w:rsid w:val="006C6424"/>
    <w:rsid w:val="008F56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6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8F5624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8F562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8F5624"/>
    <w:pPr>
      <w:ind w:firstLine="709"/>
      <w:jc w:val="both"/>
    </w:pPr>
    <w:rPr>
      <w:b/>
      <w:bCs/>
      <w:i/>
      <w:iCs/>
      <w:sz w:val="28"/>
    </w:rPr>
  </w:style>
  <w:style w:type="character" w:customStyle="1" w:styleId="20">
    <w:name w:val="Основной текст с отступом 2 Знак"/>
    <w:basedOn w:val="a0"/>
    <w:link w:val="2"/>
    <w:rsid w:val="008F5624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rsid w:val="008F562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F562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1468</Words>
  <Characters>8368</Characters>
  <Application>Microsoft Office Word</Application>
  <DocSecurity>0</DocSecurity>
  <Lines>69</Lines>
  <Paragraphs>19</Paragraphs>
  <ScaleCrop>false</ScaleCrop>
  <Company/>
  <LinksUpToDate>false</LinksUpToDate>
  <CharactersWithSpaces>9817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БЖ</dc:creator>
  <cp:lastModifiedBy>БЖ</cp:lastModifiedBy>
  <cp:revision>1</cp:revision>
  <dcterms:created xsi:type="dcterms:W3CDTF">2021-02-01T10:36:00Z</dcterms:created>
  <dcterms:modified xsi:type="dcterms:W3CDTF">2021-02-01T10:37:00Z</dcterms:modified>
</cp:coreProperties>
</file>