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F3" w:rsidRDefault="009546F3">
      <w:r>
        <w:t xml:space="preserve">!!!!!    </w:t>
      </w:r>
      <w:hyperlink r:id="rId6" w:history="1">
        <w:r w:rsidRPr="008A7B4B">
          <w:rPr>
            <w:rStyle w:val="a3"/>
          </w:rPr>
          <w:t>https://www.alt-invest.ru/library/invest</w:t>
        </w:r>
      </w:hyperlink>
      <w:r>
        <w:t xml:space="preserve"> </w:t>
      </w:r>
    </w:p>
    <w:p w:rsidR="000C4A83" w:rsidRDefault="007D39C7">
      <w:hyperlink r:id="rId7" w:history="1">
        <w:r w:rsidRPr="008A7B4B">
          <w:rPr>
            <w:rStyle w:val="a3"/>
          </w:rPr>
          <w:t>https://www.alt-invest.ru/lib/instrukciya-dlya-fd/</w:t>
        </w:r>
      </w:hyperlink>
    </w:p>
    <w:p w:rsidR="007D39C7" w:rsidRPr="007D39C7" w:rsidRDefault="007D39C7" w:rsidP="007D39C7">
      <w:pPr>
        <w:spacing w:after="0" w:line="240" w:lineRule="auto"/>
        <w:outlineLvl w:val="0"/>
        <w:rPr>
          <w:rFonts w:ascii="Helvetica" w:eastAsia="Times New Roman" w:hAnsi="Helvetica" w:cs="Helvetica"/>
          <w:b/>
          <w:bCs/>
          <w:color w:val="363636"/>
          <w:kern w:val="36"/>
          <w:sz w:val="48"/>
          <w:szCs w:val="48"/>
          <w:lang w:eastAsia="ru-RU"/>
        </w:rPr>
      </w:pPr>
      <w:r w:rsidRPr="007D39C7">
        <w:rPr>
          <w:rFonts w:ascii="Helvetica" w:eastAsia="Times New Roman" w:hAnsi="Helvetica" w:cs="Helvetica"/>
          <w:b/>
          <w:bCs/>
          <w:color w:val="363636"/>
          <w:kern w:val="36"/>
          <w:sz w:val="48"/>
          <w:szCs w:val="48"/>
          <w:lang w:eastAsia="ru-RU"/>
        </w:rPr>
        <w:t>Оценка инвестиционного проекта. Инструкция для финансового директора</w:t>
      </w:r>
      <w:bookmarkStart w:id="0" w:name="_GoBack"/>
      <w:bookmarkEnd w:id="0"/>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i/>
          <w:iCs/>
          <w:color w:val="1B252C"/>
          <w:sz w:val="21"/>
          <w:szCs w:val="21"/>
          <w:lang w:eastAsia="ru-RU"/>
        </w:rPr>
        <w:t>Дмитрий Рябых, Генеральный директор компании «Альт-Инвест»</w:t>
      </w:r>
      <w:r w:rsidRPr="007D39C7">
        <w:rPr>
          <w:rFonts w:ascii="Helvetica" w:eastAsia="Times New Roman" w:hAnsi="Helvetica" w:cs="Helvetica"/>
          <w:color w:val="1B252C"/>
          <w:sz w:val="21"/>
          <w:szCs w:val="21"/>
          <w:lang w:eastAsia="ru-RU"/>
        </w:rPr>
        <w:br/>
      </w:r>
      <w:r w:rsidRPr="007D39C7">
        <w:rPr>
          <w:rFonts w:ascii="Helvetica" w:eastAsia="Times New Roman" w:hAnsi="Helvetica" w:cs="Helvetica"/>
          <w:i/>
          <w:iCs/>
          <w:color w:val="1B252C"/>
          <w:sz w:val="21"/>
          <w:szCs w:val="21"/>
          <w:lang w:eastAsia="ru-RU"/>
        </w:rPr>
        <w:t>Авторская (</w:t>
      </w:r>
      <w:proofErr w:type="spellStart"/>
      <w:r w:rsidRPr="007D39C7">
        <w:rPr>
          <w:rFonts w:ascii="Helvetica" w:eastAsia="Times New Roman" w:hAnsi="Helvetica" w:cs="Helvetica"/>
          <w:i/>
          <w:iCs/>
          <w:color w:val="1B252C"/>
          <w:sz w:val="21"/>
          <w:szCs w:val="21"/>
          <w:lang w:eastAsia="ru-RU"/>
        </w:rPr>
        <w:t>доредакционная</w:t>
      </w:r>
      <w:proofErr w:type="spellEnd"/>
      <w:r w:rsidRPr="007D39C7">
        <w:rPr>
          <w:rFonts w:ascii="Helvetica" w:eastAsia="Times New Roman" w:hAnsi="Helvetica" w:cs="Helvetica"/>
          <w:i/>
          <w:iCs/>
          <w:color w:val="1B252C"/>
          <w:sz w:val="21"/>
          <w:szCs w:val="21"/>
          <w:lang w:eastAsia="ru-RU"/>
        </w:rPr>
        <w:t>) версия статьи  в журнале «Финансовый директор» №10 (2010 г.)</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Задача оценки инвестиционного проекта обычно ассоциируется с написанием бизнес-плана и последующим походом в банк или к другому инвестору. Между тем, в обычной деятельности компании часто возникает необходимость принятия инвестиционных решений. И за каждым таким решением стоит более или менее крупный проект, требующий анализа. Интересно, что оценка такого проекта зачастую не только не проще, но даже сложнее, чем оценка крупных инвестиций, требующих внешнего финансирования — ведь за каждым инвестиционным решением стоит переплетение множества интересов, точек зрения и целей, связанных с бизнесом компании.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Обычно, роль финансового директора в обсуждении инвестиционных решений компании заключается в том, чтобы контролировать финансовую и экономическую эффективность инвестиций, а также оценивать вклад нового проекта в общие финансовые показатели компании. На фоне идей о повышении качества продукции и бизнеса в целом, захвате новых рынков и внедрении перспективных технологий именно финансовый директор должен суметь, во-первых, задать вопрос «какой доход мы получим на потраченные деньги?», а во-вторых, четко представить картину проекта в терминах финансового дохода или убытка. Эта статья предлагает некоторые инструкции, которые, как мы надеемся, помогут упорядочить работу с этими вопросами и уберегут от часто встречающихся ошибок в анализе инвестиций.</w:t>
      </w:r>
    </w:p>
    <w:p w:rsidR="007D39C7" w:rsidRPr="007D39C7" w:rsidRDefault="007D39C7" w:rsidP="007D39C7">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7D39C7">
        <w:rPr>
          <w:rFonts w:ascii="Helvetica" w:eastAsia="Times New Roman" w:hAnsi="Helvetica" w:cs="Helvetica"/>
          <w:b/>
          <w:bCs/>
          <w:color w:val="363636"/>
          <w:sz w:val="20"/>
          <w:szCs w:val="20"/>
          <w:lang w:eastAsia="ru-RU"/>
        </w:rPr>
        <w:t>1. Начнем с конца. Итоговые показатели и принципы принятия решения.</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Прежде всего, необходимо определить какие именно характеристики проекта могли бы отражать его финансовую и экономическую выгодность для компании. Этот вопрос вынесен на передний план для того, чтобы заранее определить — зачем собираются данные и готовятся отчеты, какова конечная цель проводимой в ходе анализа проекта работы. Тогда будет понятнее, какими вопросами в ходе работы можно пренебрегать, а что является важным и обязательным.</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 xml:space="preserve">Если подходить к проекту с точки зрения классического финансового анализа, то существует только один простой критерий его эффективности. Проект будет признан эффективным в том случае, если он приносит прибыль. Однако в данном случае имеется в виду не бухгалтерская, а экономическая прибыль. Она отличается тем, что учитывает не только затраты, понесенные компанией, но и стоимость используемого для проекта капитала, даже если эта стоимость и не выплачивалась в виде реальных процентов. </w:t>
      </w:r>
      <w:proofErr w:type="gramStart"/>
      <w:r w:rsidRPr="007D39C7">
        <w:rPr>
          <w:rFonts w:ascii="Helvetica" w:eastAsia="Times New Roman" w:hAnsi="Helvetica" w:cs="Helvetica"/>
          <w:color w:val="1B252C"/>
          <w:sz w:val="21"/>
          <w:szCs w:val="21"/>
          <w:lang w:eastAsia="ru-RU"/>
        </w:rPr>
        <w:t>Это делает полученную оценку более универсальной, а принцип принятия решения — более простым.</w:t>
      </w:r>
      <w:proofErr w:type="gramEnd"/>
      <w:r w:rsidRPr="007D39C7">
        <w:rPr>
          <w:rFonts w:ascii="Helvetica" w:eastAsia="Times New Roman" w:hAnsi="Helvetica" w:cs="Helvetica"/>
          <w:color w:val="1B252C"/>
          <w:sz w:val="21"/>
          <w:szCs w:val="21"/>
          <w:lang w:eastAsia="ru-RU"/>
        </w:rPr>
        <w:t xml:space="preserve"> Если экономическая прибыль от реализации проекта оказалась выше нуля, </w:t>
      </w:r>
      <w:proofErr w:type="gramStart"/>
      <w:r w:rsidRPr="007D39C7">
        <w:rPr>
          <w:rFonts w:ascii="Helvetica" w:eastAsia="Times New Roman" w:hAnsi="Helvetica" w:cs="Helvetica"/>
          <w:color w:val="1B252C"/>
          <w:sz w:val="21"/>
          <w:szCs w:val="21"/>
          <w:lang w:eastAsia="ru-RU"/>
        </w:rPr>
        <w:t>значит</w:t>
      </w:r>
      <w:proofErr w:type="gramEnd"/>
      <w:r w:rsidRPr="007D39C7">
        <w:rPr>
          <w:rFonts w:ascii="Helvetica" w:eastAsia="Times New Roman" w:hAnsi="Helvetica" w:cs="Helvetica"/>
          <w:color w:val="1B252C"/>
          <w:sz w:val="21"/>
          <w:szCs w:val="21"/>
          <w:lang w:eastAsia="ru-RU"/>
        </w:rPr>
        <w:t xml:space="preserve"> компания в результате станет богаче, а проект следует считать выгодным. Если же экономическая прибыль отрицательна, то проект с финансовой точки зрения неэффективен (но возможно создает некоторые нефинансовые выгоды).</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В практических расчетах используются разные показатели, характеризующие экономическую прибыль компании. В случае с оценкой инвестиционных проектов наиболее часто применяется </w:t>
      </w:r>
      <w:r w:rsidRPr="007D39C7">
        <w:rPr>
          <w:rFonts w:ascii="Helvetica" w:eastAsia="Times New Roman" w:hAnsi="Helvetica" w:cs="Helvetica"/>
          <w:b/>
          <w:bCs/>
          <w:color w:val="1B252C"/>
          <w:sz w:val="21"/>
          <w:szCs w:val="21"/>
          <w:lang w:eastAsia="ru-RU"/>
        </w:rPr>
        <w:t>чистый приведенный доход (NPV)</w:t>
      </w:r>
      <w:r w:rsidRPr="007D39C7">
        <w:rPr>
          <w:rFonts w:ascii="Helvetica" w:eastAsia="Times New Roman" w:hAnsi="Helvetica" w:cs="Helvetica"/>
          <w:color w:val="1B252C"/>
          <w:sz w:val="21"/>
          <w:szCs w:val="21"/>
          <w:lang w:eastAsia="ru-RU"/>
        </w:rPr>
        <w:t xml:space="preserve">. Именно вопрос о величине NPV проекта </w:t>
      </w:r>
      <w:r w:rsidRPr="007D39C7">
        <w:rPr>
          <w:rFonts w:ascii="Helvetica" w:eastAsia="Times New Roman" w:hAnsi="Helvetica" w:cs="Helvetica"/>
          <w:color w:val="1B252C"/>
          <w:sz w:val="21"/>
          <w:szCs w:val="21"/>
          <w:lang w:eastAsia="ru-RU"/>
        </w:rPr>
        <w:lastRenderedPageBreak/>
        <w:t>будет наиболее фундаментальной и классической точкой зрения финансового директора на инвестиционные вложения. Величина NPV определяется на основе прогнозного отчета о движении денежных средств, составленного для инвестиционного проекта. Поэтому задача номер один при изучении вложений — понять, какие денежные потоки вызовет положительное решение о реализации проекта.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Еще два показателя, рассчитываемые на основе прогнозного денежного потока, это </w:t>
      </w:r>
      <w:r w:rsidRPr="007D39C7">
        <w:rPr>
          <w:rFonts w:ascii="Helvetica" w:eastAsia="Times New Roman" w:hAnsi="Helvetica" w:cs="Helvetica"/>
          <w:b/>
          <w:bCs/>
          <w:color w:val="1B252C"/>
          <w:sz w:val="21"/>
          <w:szCs w:val="21"/>
          <w:lang w:eastAsia="ru-RU"/>
        </w:rPr>
        <w:t>внутренняя норма рентабельности (IRR)</w:t>
      </w:r>
      <w:r w:rsidRPr="007D39C7">
        <w:rPr>
          <w:rFonts w:ascii="Helvetica" w:eastAsia="Times New Roman" w:hAnsi="Helvetica" w:cs="Helvetica"/>
          <w:color w:val="1B252C"/>
          <w:sz w:val="21"/>
          <w:szCs w:val="21"/>
          <w:lang w:eastAsia="ru-RU"/>
        </w:rPr>
        <w:t> и </w:t>
      </w:r>
      <w:r w:rsidRPr="007D39C7">
        <w:rPr>
          <w:rFonts w:ascii="Helvetica" w:eastAsia="Times New Roman" w:hAnsi="Helvetica" w:cs="Helvetica"/>
          <w:b/>
          <w:bCs/>
          <w:color w:val="1B252C"/>
          <w:sz w:val="21"/>
          <w:szCs w:val="21"/>
          <w:lang w:eastAsia="ru-RU"/>
        </w:rPr>
        <w:t>дисконтированный срок окупаемости (PBP)</w:t>
      </w:r>
      <w:r w:rsidRPr="007D39C7">
        <w:rPr>
          <w:rFonts w:ascii="Helvetica" w:eastAsia="Times New Roman" w:hAnsi="Helvetica" w:cs="Helvetica"/>
          <w:color w:val="1B252C"/>
          <w:sz w:val="21"/>
          <w:szCs w:val="21"/>
          <w:lang w:eastAsia="ru-RU"/>
        </w:rPr>
        <w:t>. Для их расчета используются те же прогнозные отчеты, а сами показатели являются вспомогательными по отношению к NPV, они просто дополняют его, отражая экономический эффект проекта в других ракурсах. Поэтому мы не будем выделять их в самостоятельную группу, а объединим с NPV под общим понятием показателей экономической эффективности. Как уже было сказано выше, главное условие для их расчета — наличие прогноза денежных потоков проекта.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 xml:space="preserve">Иногда прогнозировать денежные потоки может быть неудобно. В этом </w:t>
      </w:r>
      <w:proofErr w:type="gramStart"/>
      <w:r w:rsidRPr="007D39C7">
        <w:rPr>
          <w:rFonts w:ascii="Helvetica" w:eastAsia="Times New Roman" w:hAnsi="Helvetica" w:cs="Helvetica"/>
          <w:color w:val="1B252C"/>
          <w:sz w:val="21"/>
          <w:szCs w:val="21"/>
          <w:lang w:eastAsia="ru-RU"/>
        </w:rPr>
        <w:t>случае</w:t>
      </w:r>
      <w:proofErr w:type="gramEnd"/>
      <w:r w:rsidRPr="007D39C7">
        <w:rPr>
          <w:rFonts w:ascii="Helvetica" w:eastAsia="Times New Roman" w:hAnsi="Helvetica" w:cs="Helvetica"/>
          <w:color w:val="1B252C"/>
          <w:sz w:val="21"/>
          <w:szCs w:val="21"/>
          <w:lang w:eastAsia="ru-RU"/>
        </w:rPr>
        <w:t xml:space="preserve"> возможно рассчитывать те или иные косвенные финансовые характеристики проекта. В частности, распространен вариант, при котором оценивается изменение в бухгалтерской прибыли или других показателях, характерных для отчета о прибылях и убытках. Это может быть операционная прибыль, EBITDA и другие показатели. Но проблема в том, что сравнивать ежегодные (</w:t>
      </w:r>
      <w:proofErr w:type="gramStart"/>
      <w:r w:rsidRPr="007D39C7">
        <w:rPr>
          <w:rFonts w:ascii="Helvetica" w:eastAsia="Times New Roman" w:hAnsi="Helvetica" w:cs="Helvetica"/>
          <w:color w:val="1B252C"/>
          <w:sz w:val="21"/>
          <w:szCs w:val="21"/>
          <w:lang w:eastAsia="ru-RU"/>
        </w:rPr>
        <w:t>и</w:t>
      </w:r>
      <w:proofErr w:type="gramEnd"/>
      <w:r w:rsidRPr="007D39C7">
        <w:rPr>
          <w:rFonts w:ascii="Helvetica" w:eastAsia="Times New Roman" w:hAnsi="Helvetica" w:cs="Helvetica"/>
          <w:color w:val="1B252C"/>
          <w:sz w:val="21"/>
          <w:szCs w:val="21"/>
          <w:lang w:eastAsia="ru-RU"/>
        </w:rPr>
        <w:t xml:space="preserve"> как правило каждый год разные) показатели прибыли с суммой начальных инвестиций неудобно. К тому же при использовании годовых значений прибыли остается за рамками анализа вопрос о стоимости денег акционера. Поэтому часто в качестве итогового показателя применяется не сама прибыль, а показатели стоимости бизнеса, рассчитанные на ее основе. Самый простой и очевидный вариант такого подхода — использование </w:t>
      </w:r>
      <w:r w:rsidRPr="007D39C7">
        <w:rPr>
          <w:rFonts w:ascii="Helvetica" w:eastAsia="Times New Roman" w:hAnsi="Helvetica" w:cs="Helvetica"/>
          <w:b/>
          <w:bCs/>
          <w:color w:val="1B252C"/>
          <w:sz w:val="21"/>
          <w:szCs w:val="21"/>
          <w:lang w:eastAsia="ru-RU"/>
        </w:rPr>
        <w:t>оценки стоимости по модели Гордона</w:t>
      </w:r>
      <w:r w:rsidRPr="007D39C7">
        <w:rPr>
          <w:rFonts w:ascii="Helvetica" w:eastAsia="Times New Roman" w:hAnsi="Helvetica" w:cs="Helvetica"/>
          <w:color w:val="1B252C"/>
          <w:sz w:val="21"/>
          <w:szCs w:val="21"/>
          <w:lang w:eastAsia="ru-RU"/>
        </w:rPr>
        <w:t>. В этом случае нам понадобится прогноз изменений в отчете о прибылях и убытках компании, связанный с проектом. А оценка будет сводиться к тому, чтобы убедиться, что прирост стоимости бизнеса ожидается на уровне не ниже, чем потраченные на проект деньги.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И последняя группа показателей, которые используются при подготовке выводов о проекте, это показатели финансового состояния компании, такие как ликвидность, оборачиваемость и рентабельность деятельности. Иногда для понимания сути проекта бывает важно не столько оценить его собственный эффект, сколько показать изменения, которые в результате произойдут в компании в целом. Здесь нет рекомендуемых показателей, для каждой компании набор будет меняться. Общим принципом выбора критериев можно назвать такой: они должны отражать те характеристики компании, о значениях которых имеет смысл беспокоиться или которые необходимо улучшать. Как правило, для нормального расчета этих показателей потребуется иметь прогнозный баланс и отчет о прибылях и убытках.</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Таким образом, в зависимости от перечня показателей, которые лягут в основу принятия решения о проекте, потребуется сформировать для этого проекта либо только прогноз движения денежных средств, либо еще и два дополнительных отчета. Как показывает практика, 90% всех сложностей оценки касаются не расчета показателей, а как раз формирования прогнозных отчетов. Поэтому мы уделим этому вопросу особое внимание.</w:t>
      </w:r>
    </w:p>
    <w:p w:rsidR="007D39C7" w:rsidRPr="007D39C7" w:rsidRDefault="007D39C7" w:rsidP="007D39C7">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7D39C7">
        <w:rPr>
          <w:rFonts w:ascii="Helvetica" w:eastAsia="Times New Roman" w:hAnsi="Helvetica" w:cs="Helvetica"/>
          <w:b/>
          <w:bCs/>
          <w:color w:val="363636"/>
          <w:sz w:val="20"/>
          <w:szCs w:val="20"/>
          <w:lang w:eastAsia="ru-RU"/>
        </w:rPr>
        <w:t>2. Прогноз денежных потоков и другой отчетности проекта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Всю работу по оценке инвестиционных проектов можно условно разделить на две части. Первая — сбор информации и прогнозирование денежных потоков. Эта работа очень трудно формализуется, у каждой компании и в каждом проекте будет много индивидуальных особенностей. Именно поэтому она отнимает большую часть времени и сил аналитика. Вторая часть — расчет показателей и их изучение. Здесь тоже много работы и требуется немало знаний, но на этом этапе заметная часть работы может выполняться по формальным алгоритмам и не требовать ни времени, ни долгого обдумывания. Но для того, чтобы избавить себя и других потребителей финансовой отчетности от напрасной потери времени, необходимо стремиться свести прогнозную финансовую отчетность к стандартным формам, позволяющим быстро находить интересующие цифры и автоматически рассчитывать показатели.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lastRenderedPageBreak/>
        <w:t>Наиболее важным отчетом для оценки проектов является отчет о движении денежных средств, поэтому пример его рекомендуемого формата приведен ниже.</w:t>
      </w:r>
    </w:p>
    <w:tbl>
      <w:tblPr>
        <w:tblW w:w="9846"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37"/>
        <w:gridCol w:w="1417"/>
        <w:gridCol w:w="1770"/>
        <w:gridCol w:w="1622"/>
      </w:tblGrid>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ОТЧЕТ О ДВИЖЕНИИ ДЕНЕЖНЫХ СРЕДСТВ</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2011</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2012</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2013</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Поступления от продаж</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98 618 596</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114 899 316</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Затраты на материалы и комплектующие</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Прочие переменные затраты</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-34 635 326</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-40 353 193</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Зарплата</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Общие затраты</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-24 037 180</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-25 239 039</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Налоги</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-848 664</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-586 795</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Выплата процентов по кредитам</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-10 703 146</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-7 804 195</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Денежные потоки от операционной деятельности</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28 394 280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40 916 093</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Инвестиции в земельные участки</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Инвестиции в здания и сооружения</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-38 800 000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Инвестиции в оборудование и прочие активы</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-48 200 000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Оплата расходов будущих периодов</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Прирост чистого оборотного капитала</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-5 326 008</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-361 806</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Выручка от реализации активов</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Денежные потоки от инвестиционной деятельности</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-87 000 000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-5 326 008</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-361 806</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Поступления собственного капитала</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20 000 000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Поступления кредитов</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73 031 361</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Возврат кредитов</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-18 913 090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-33 972 238</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Лизинговые платежи</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Выплата дивидендов</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Денежные потоки от финансовой деятельности</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93 031 361</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-18 913 090</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-33 972 238</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Суммарный денежный поток за период</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6 031 361</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4 155 182</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6 582 050</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Денежные средства на начало периода</w:t>
            </w:r>
          </w:p>
        </w:tc>
        <w:tc>
          <w:tcPr>
            <w:tcW w:w="1417"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0</w:t>
            </w:r>
          </w:p>
        </w:tc>
        <w:tc>
          <w:tcPr>
            <w:tcW w:w="1770"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6 031 361</w:t>
            </w:r>
          </w:p>
        </w:tc>
        <w:tc>
          <w:tcPr>
            <w:tcW w:w="1622" w:type="dxa"/>
            <w:tcBorders>
              <w:top w:val="outset" w:sz="6" w:space="0" w:color="auto"/>
              <w:left w:val="outset" w:sz="6" w:space="0" w:color="auto"/>
              <w:bottom w:val="outset" w:sz="6" w:space="0" w:color="auto"/>
              <w:right w:val="outset" w:sz="6" w:space="0" w:color="auto"/>
            </w:tcBorders>
            <w:shd w:val="clear" w:color="auto" w:fill="F2F2F2"/>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sz w:val="24"/>
                <w:szCs w:val="24"/>
                <w:lang w:eastAsia="ru-RU"/>
              </w:rPr>
              <w:t>10 186 543</w:t>
            </w:r>
          </w:p>
        </w:tc>
      </w:tr>
      <w:tr w:rsidR="007D39C7" w:rsidRPr="007D39C7" w:rsidTr="007D39C7">
        <w:tc>
          <w:tcPr>
            <w:tcW w:w="503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Денежные средства на конец периода</w:t>
            </w:r>
          </w:p>
        </w:tc>
        <w:tc>
          <w:tcPr>
            <w:tcW w:w="1417"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6 031 361</w:t>
            </w:r>
          </w:p>
        </w:tc>
        <w:tc>
          <w:tcPr>
            <w:tcW w:w="1770"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10 186 543</w:t>
            </w:r>
          </w:p>
        </w:tc>
        <w:tc>
          <w:tcPr>
            <w:tcW w:w="1622" w:type="dxa"/>
            <w:tcBorders>
              <w:top w:val="outset" w:sz="6" w:space="0" w:color="auto"/>
              <w:left w:val="outset" w:sz="6" w:space="0" w:color="auto"/>
              <w:bottom w:val="outset" w:sz="6" w:space="0" w:color="auto"/>
              <w:right w:val="outset" w:sz="6" w:space="0" w:color="auto"/>
            </w:tcBorders>
            <w:hideMark/>
          </w:tcPr>
          <w:p w:rsidR="007D39C7" w:rsidRPr="007D39C7" w:rsidRDefault="007D39C7" w:rsidP="007D39C7">
            <w:pPr>
              <w:spacing w:before="100" w:beforeAutospacing="1" w:after="100" w:afterAutospacing="1" w:line="240" w:lineRule="auto"/>
              <w:rPr>
                <w:rFonts w:ascii="Times New Roman" w:eastAsia="Times New Roman" w:hAnsi="Times New Roman" w:cs="Times New Roman"/>
                <w:sz w:val="24"/>
                <w:szCs w:val="24"/>
                <w:lang w:eastAsia="ru-RU"/>
              </w:rPr>
            </w:pPr>
            <w:r w:rsidRPr="007D39C7">
              <w:rPr>
                <w:rFonts w:ascii="Times New Roman" w:eastAsia="Times New Roman" w:hAnsi="Times New Roman" w:cs="Times New Roman"/>
                <w:b/>
                <w:bCs/>
                <w:sz w:val="24"/>
                <w:szCs w:val="24"/>
                <w:lang w:eastAsia="ru-RU"/>
              </w:rPr>
              <w:t>16 768 592</w:t>
            </w:r>
          </w:p>
        </w:tc>
      </w:tr>
    </w:tbl>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 xml:space="preserve">Два других отчета, отчет о прибылях и убытках и баланс, тоже должны иметь стандартные форматы. Но проблема их подготовки, обычно, несколько более широкая. Одновременное прогнозирование и денежных потоков, и прочей отчетности требует аккуратного сведения всех учетных событий и факторов, иначе отчетность будет выглядеть неаккуратно и даже противоречиво. Такая работа слишком сложна для того, чтобы проделывать ее с каждым </w:t>
      </w:r>
      <w:r w:rsidRPr="007D39C7">
        <w:rPr>
          <w:rFonts w:ascii="Helvetica" w:eastAsia="Times New Roman" w:hAnsi="Helvetica" w:cs="Helvetica"/>
          <w:color w:val="1B252C"/>
          <w:sz w:val="21"/>
          <w:szCs w:val="21"/>
          <w:lang w:eastAsia="ru-RU"/>
        </w:rPr>
        <w:lastRenderedPageBreak/>
        <w:t xml:space="preserve">проектом. Поэтому полный прогноз отчетности имеет смысл готовить только в том случае, если для анализа проектов вы используете либо готовый программный продукт или модель в </w:t>
      </w:r>
      <w:proofErr w:type="spellStart"/>
      <w:r w:rsidRPr="007D39C7">
        <w:rPr>
          <w:rFonts w:ascii="Helvetica" w:eastAsia="Times New Roman" w:hAnsi="Helvetica" w:cs="Helvetica"/>
          <w:color w:val="1B252C"/>
          <w:sz w:val="21"/>
          <w:szCs w:val="21"/>
          <w:lang w:eastAsia="ru-RU"/>
        </w:rPr>
        <w:t>Excel</w:t>
      </w:r>
      <w:proofErr w:type="spellEnd"/>
      <w:r w:rsidRPr="007D39C7">
        <w:rPr>
          <w:rFonts w:ascii="Helvetica" w:eastAsia="Times New Roman" w:hAnsi="Helvetica" w:cs="Helvetica"/>
          <w:color w:val="1B252C"/>
          <w:sz w:val="21"/>
          <w:szCs w:val="21"/>
          <w:lang w:eastAsia="ru-RU"/>
        </w:rPr>
        <w:t>, либо собственную стандартную разработку.</w:t>
      </w:r>
    </w:p>
    <w:p w:rsidR="007D39C7" w:rsidRPr="007D39C7" w:rsidRDefault="007D39C7" w:rsidP="007D39C7">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7D39C7">
        <w:rPr>
          <w:rFonts w:ascii="Helvetica" w:eastAsia="Times New Roman" w:hAnsi="Helvetica" w:cs="Helvetica"/>
          <w:b/>
          <w:bCs/>
          <w:color w:val="363636"/>
          <w:sz w:val="20"/>
          <w:szCs w:val="20"/>
          <w:lang w:eastAsia="ru-RU"/>
        </w:rPr>
        <w:t>3. Принципы подготовки прогнозов</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Уже сама форма отчета о движении денежных средств задает план подготовки данных для анализа. Тем не менее, для удобства работы этот план лучше детализировать. Вот традиционный список вопросов, с решения которых начинается анализ любого инвестиционного проекта: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1. Доходы проекта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1.1. Какие новые продукты/услуги появятся в результате проекта?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1.2. Ожидаемый объем продаж. Физические объемы и цены.</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1.3. Будут ли получены специальные выгоды в форме снижения издержек? Чему равны эти выгоды в денежном измерении?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1.4. Произойдут ли изменения в объеме продаж или в цене продукции, которая выпускается сейчас? Чему равны дополнительные доходы за счет проекта?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2. Текущие затраты</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2.1. Персонал. Штатное расписание проекта, зарплаты.</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2.2. Прямые переменные затраты, связанные с производством. Требуются ли расходы на комплектующие, материалы, энергию, доставку и т.п.?</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2.3. Аренда помещений и другие арендные расходы. Коммунальные расходы, связанные с эксплуатацией помещений.</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2.4. Будут ли в проекте расходы, связанные с содержанием и эксплуатацией оборудования (регулярное обслуживание, расходные материалы и пр.)?</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2.5. Требуются ли маркетинговые расходы? Маркетинговый бюджет.</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2.6. Будут ли в проекте использоваться услуги сторонних организаций? Например, охрана, правовое сопровождение, телекоммуникации, транспортное обслуживание. Каковы прогнозы этих затрат?</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3. Инвестиции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3.1. Какие инвестиции потребуются на приобретение земли, строительство, подводку коммуникаций, приобретение и монтаж оборудования? Какими будут сроки амортизации оборудования?</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3.2. Будут ли дополнительные расходы на доставку оборудования, есть ли таможенные платежи, связанные с покупкой импортного оборудования?</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3.3. Потребуются ли дополнительные вложения в оборотный капитал?</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3.4. Нужно ли потратить деньги на лицензии, сертификаты, покупку каких-либо прав и другие организационные цели?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lastRenderedPageBreak/>
        <w:t>3.5. Потребуются ли в дальнейшем регулярные инвестиции в обновление оборудования по мере его износа?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4. Финансирование</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4.1. Из каких источников финансируется проект?</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4.2. Прогноз стоимости средств, привлекаемых через лизинг или кредиты. Ожидаемые условия финансирования.</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5. Экономическое окружение и налоги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5.1. Учет основных налогов: НДС, ЕСН, налог на прибыль, на имущество.</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5.2. Есть ли в проекте необходимость учета каких-то специфических налогов? Например, акцизов или таможенных пошлин.</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5.3. Будем ли мы учитывать инфляцию в прогнозах? Ее можно и проигнорировать, но тогда при оценке эффективности надо использовать не номинальные, а реальные процентные ставки.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В принципе, приведенный выше перечень охватывает практически все вопросы, которые следует задать для подготовки финансовой модели проекта. Но в реальной жизни часто возникают ситуации, сильно усложняющие работу. Некоторые из них встречаются настолько часто, что их стоит упомянуть здесь.</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b/>
          <w:bCs/>
          <w:color w:val="1B252C"/>
          <w:sz w:val="21"/>
          <w:szCs w:val="21"/>
          <w:lang w:eastAsia="ru-RU"/>
        </w:rPr>
        <w:t>Ранее осуществленные инвестиции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Зачастую, к моменту проведения оценки проекта часть затрат, связанных с ним, уже оплачена. Логика оценки эффективности вложений, да и просто обычное понимание инвестиций подсказывают, что эти затраты должны быть учтены при анализе вложений. Но в этой логике скрывается ловушка!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Оценка эффективности проекта, безусловно, потребует учета всех его затрат. Но говоря об эффективности проекта, мы обычно подразумеваем эффективность принимаемого в данный момент решения о его запуске или продолжении. И в этом случае деньги, потраченные ранее, должны быть проигнорированы, так как отказ от реализации проекта все равно не вернет их. В инвестиционном анализе принят именно такой подход, то есть оценивается не эффективность проекта в целом, вместе со всей его историей, а эффективность решения, принимаемого в данный момент.</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С другой стороны, часто имущество, передаваемое в проект бесплатно, может быть продано, если отказаться от реализации проекта. В этом случае, следует считать, что средства, не полученные из-за того, что имущество не продано, это тоже часть инвестиций.</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b/>
          <w:bCs/>
          <w:color w:val="1B252C"/>
          <w:sz w:val="21"/>
          <w:szCs w:val="21"/>
          <w:lang w:eastAsia="ru-RU"/>
        </w:rPr>
        <w:t>Выделение проекта из действующего бизнеса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Обычно это один из наиболее сложных вопросов анализа. Что делать, если над проектом работают сотрудники, которые и раньше получали зарплату в компании? Как учесть использование имеющихся у компании площадей и оборудования? Можно ли отразить в оценках повышение качества услуг? Это все типичные вопросы, возникающие при оценке инвестиций, связанных с развитием бизнеса.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 xml:space="preserve">Начнем с простой констатации главного принципа. В денежных потоках проекта должны быть отражены только те доходы и только те затраты, которые возникнут в случае, если проект будет реализовываться. Если какие-то платежи существовали бы и без проекта, то они не имеют к проекту никакого отношения и должны игнорироваться. Например, если новым </w:t>
      </w:r>
      <w:r w:rsidRPr="007D39C7">
        <w:rPr>
          <w:rFonts w:ascii="Helvetica" w:eastAsia="Times New Roman" w:hAnsi="Helvetica" w:cs="Helvetica"/>
          <w:color w:val="1B252C"/>
          <w:sz w:val="21"/>
          <w:szCs w:val="21"/>
          <w:lang w:eastAsia="ru-RU"/>
        </w:rPr>
        <w:lastRenderedPageBreak/>
        <w:t>сотрудникам отвели для размещения часть офиса, которая существовала и раньше, то затраты на аренду этих площадей не являются затратами проекта. И наоборот, если компания производит и продает, например, лампочки, а инвестиционные вложения позволят повысить качество продукции, то нельзя учитывать в доходах этого проекта поступления от продажи ламп, доходами проекта можно признать только дополнительные поступления от роста объемов продаж или цены, либо же выигрыш в затратах за счет снижения брака.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Иногда выделение доходов и затрат оказывается достаточно простым, тогда проект моделируется обычным образом. Но часто вычленить денежные потоки проекта оказывается сложно. В этом случае удобнее подготовить два прогноза денежных потоков: «деятельность компании без проекта» и «деятельность компании с проектом», а для анализа использовать разность между этими отчетами.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Важно, также, обратить внимание на то, что для учета доходов и затрат проекта важно, что они появляются в результате его запуска. При этом не важно, в каком подразделении компании появляются эти доходы или затраты. Например, холдинг создает собственную транспортную компанию, которая оказывает платные услуги. Этот проект может иметь высокие доходы, но если перевозки осуществляются для других собственных подразделений, то потраченные ими деньги следует считать затратами проекта (или просто исключить их из доходов). В то же время, средства, которые теперь не выплачиваются сторонним перевозчикам, являются доходом проекта.</w:t>
      </w:r>
    </w:p>
    <w:p w:rsidR="007D39C7" w:rsidRPr="007D39C7" w:rsidRDefault="007D39C7" w:rsidP="007D39C7">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7D39C7">
        <w:rPr>
          <w:rFonts w:ascii="Helvetica" w:eastAsia="Times New Roman" w:hAnsi="Helvetica" w:cs="Helvetica"/>
          <w:b/>
          <w:bCs/>
          <w:color w:val="363636"/>
          <w:sz w:val="20"/>
          <w:szCs w:val="20"/>
          <w:lang w:eastAsia="ru-RU"/>
        </w:rPr>
        <w:t>4. Расчет показателей</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Завершающим этапом оценки инвестиционного проекта должен стать расчет ключевых показателей эффективности, на основе которых принимается решение о привлекательности проекта. Как уже было сказано выше, наиболее часто такими показателями становится либо группа NPV/IRR/PBP, либо оценка бизнеса в соответствии с формулой Гордона.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Расчет NPV требует от аналитика решения двух простых задач. Во-первых, надо выделить из отчета о движении денежных сре</w:t>
      </w:r>
      <w:proofErr w:type="gramStart"/>
      <w:r w:rsidRPr="007D39C7">
        <w:rPr>
          <w:rFonts w:ascii="Helvetica" w:eastAsia="Times New Roman" w:hAnsi="Helvetica" w:cs="Helvetica"/>
          <w:color w:val="1B252C"/>
          <w:sz w:val="21"/>
          <w:szCs w:val="21"/>
          <w:lang w:eastAsia="ru-RU"/>
        </w:rPr>
        <w:t>дств стр</w:t>
      </w:r>
      <w:proofErr w:type="gramEnd"/>
      <w:r w:rsidRPr="007D39C7">
        <w:rPr>
          <w:rFonts w:ascii="Helvetica" w:eastAsia="Times New Roman" w:hAnsi="Helvetica" w:cs="Helvetica"/>
          <w:color w:val="1B252C"/>
          <w:sz w:val="21"/>
          <w:szCs w:val="21"/>
          <w:lang w:eastAsia="ru-RU"/>
        </w:rPr>
        <w:t>оку чистого денежного потока (</w:t>
      </w:r>
      <w:proofErr w:type="spellStart"/>
      <w:r w:rsidRPr="007D39C7">
        <w:rPr>
          <w:rFonts w:ascii="Helvetica" w:eastAsia="Times New Roman" w:hAnsi="Helvetica" w:cs="Helvetica"/>
          <w:color w:val="1B252C"/>
          <w:sz w:val="21"/>
          <w:szCs w:val="21"/>
          <w:lang w:eastAsia="ru-RU"/>
        </w:rPr>
        <w:t>Net</w:t>
      </w:r>
      <w:proofErr w:type="spellEnd"/>
      <w:r w:rsidRPr="007D39C7">
        <w:rPr>
          <w:rFonts w:ascii="Helvetica" w:eastAsia="Times New Roman" w:hAnsi="Helvetica" w:cs="Helvetica"/>
          <w:color w:val="1B252C"/>
          <w:sz w:val="21"/>
          <w:szCs w:val="21"/>
          <w:lang w:eastAsia="ru-RU"/>
        </w:rPr>
        <w:t xml:space="preserve"> </w:t>
      </w:r>
      <w:proofErr w:type="spellStart"/>
      <w:r w:rsidRPr="007D39C7">
        <w:rPr>
          <w:rFonts w:ascii="Helvetica" w:eastAsia="Times New Roman" w:hAnsi="Helvetica" w:cs="Helvetica"/>
          <w:color w:val="1B252C"/>
          <w:sz w:val="21"/>
          <w:szCs w:val="21"/>
          <w:lang w:eastAsia="ru-RU"/>
        </w:rPr>
        <w:t>Cash</w:t>
      </w:r>
      <w:proofErr w:type="spellEnd"/>
      <w:r w:rsidRPr="007D39C7">
        <w:rPr>
          <w:rFonts w:ascii="Helvetica" w:eastAsia="Times New Roman" w:hAnsi="Helvetica" w:cs="Helvetica"/>
          <w:color w:val="1B252C"/>
          <w:sz w:val="21"/>
          <w:szCs w:val="21"/>
          <w:lang w:eastAsia="ru-RU"/>
        </w:rPr>
        <w:t xml:space="preserve"> </w:t>
      </w:r>
      <w:proofErr w:type="spellStart"/>
      <w:r w:rsidRPr="007D39C7">
        <w:rPr>
          <w:rFonts w:ascii="Helvetica" w:eastAsia="Times New Roman" w:hAnsi="Helvetica" w:cs="Helvetica"/>
          <w:color w:val="1B252C"/>
          <w:sz w:val="21"/>
          <w:szCs w:val="21"/>
          <w:lang w:eastAsia="ru-RU"/>
        </w:rPr>
        <w:t>Flow</w:t>
      </w:r>
      <w:proofErr w:type="spellEnd"/>
      <w:r w:rsidRPr="007D39C7">
        <w:rPr>
          <w:rFonts w:ascii="Helvetica" w:eastAsia="Times New Roman" w:hAnsi="Helvetica" w:cs="Helvetica"/>
          <w:color w:val="1B252C"/>
          <w:sz w:val="21"/>
          <w:szCs w:val="21"/>
          <w:lang w:eastAsia="ru-RU"/>
        </w:rPr>
        <w:t>, NCF). Наиболее простой вариант определения этой строки выглядит так:</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NCF = Денежные потоки от операционной деятельности </w:t>
      </w:r>
      <w:r w:rsidRPr="007D39C7">
        <w:rPr>
          <w:rFonts w:ascii="Helvetica" w:eastAsia="Times New Roman" w:hAnsi="Helvetica" w:cs="Helvetica"/>
          <w:i/>
          <w:iCs/>
          <w:color w:val="1B252C"/>
          <w:sz w:val="21"/>
          <w:szCs w:val="21"/>
          <w:lang w:eastAsia="ru-RU"/>
        </w:rPr>
        <w:t>без учета процентов по кредитам</w:t>
      </w:r>
      <w:r w:rsidRPr="007D39C7">
        <w:rPr>
          <w:rFonts w:ascii="Helvetica" w:eastAsia="Times New Roman" w:hAnsi="Helvetica" w:cs="Helvetica"/>
          <w:color w:val="1B252C"/>
          <w:sz w:val="21"/>
          <w:szCs w:val="21"/>
          <w:lang w:eastAsia="ru-RU"/>
        </w:rPr>
        <w:t> + Денежные потоки от инвестиционной деятельности.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Такое определение NCF приведет к оценке эффективности проекта с точки зрения суммарных инвестиций, без учета источников их финансирования. Оценка эффективности с точки зрения только денег акционера или с точки зрения банка потребует корректировки, но мы не будем рассматривать эти вопросы в рамках данной статьи.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Вторая задача, которую надо решить перед расчетом NPV — определение ставки дисконтирования. Это не так сложно. В основе выбора ставки дисконтирования должно лежать следующее определение этой ставки: это норма доходности, которую инвестор хотел бы получать на свои средства, вложенные в данный проект. Иными словами, если инициатор проекта уже знает, при каком годовом доходе он сможет признать проект привлекательным для вложений, то это и есть ставка дисконтирования. Если же речь идет просто об одном из множества проектов компании, то обычно применяется двухходовый расчет ставки.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1. Вычисляем средневзвешенную стоимость капитала (WACC) компании. Это показатель, который отражает — какую норму доходности компания обычно имеет на используемые ею средства. Формула расчета показателя:</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i/>
          <w:iCs/>
          <w:color w:val="1B252C"/>
          <w:sz w:val="21"/>
          <w:szCs w:val="21"/>
          <w:lang w:eastAsia="ru-RU"/>
        </w:rPr>
        <w:t xml:space="preserve">WACC = </w:t>
      </w:r>
      <w:proofErr w:type="spellStart"/>
      <w:proofErr w:type="gramStart"/>
      <w:r w:rsidRPr="007D39C7">
        <w:rPr>
          <w:rFonts w:ascii="Helvetica" w:eastAsia="Times New Roman" w:hAnsi="Helvetica" w:cs="Helvetica"/>
          <w:i/>
          <w:iCs/>
          <w:color w:val="1B252C"/>
          <w:sz w:val="21"/>
          <w:szCs w:val="21"/>
          <w:lang w:eastAsia="ru-RU"/>
        </w:rPr>
        <w:t>w</w:t>
      </w:r>
      <w:proofErr w:type="gramEnd"/>
      <w:r w:rsidRPr="007D39C7">
        <w:rPr>
          <w:rFonts w:ascii="Helvetica" w:eastAsia="Times New Roman" w:hAnsi="Helvetica" w:cs="Helvetica"/>
          <w:i/>
          <w:iCs/>
          <w:color w:val="1B252C"/>
          <w:sz w:val="17"/>
          <w:szCs w:val="17"/>
          <w:vertAlign w:val="subscript"/>
          <w:lang w:eastAsia="ru-RU"/>
        </w:rPr>
        <w:t>кр</w:t>
      </w:r>
      <w:r w:rsidRPr="007D39C7">
        <w:rPr>
          <w:rFonts w:ascii="Helvetica" w:eastAsia="Times New Roman" w:hAnsi="Helvetica" w:cs="Helvetica"/>
          <w:i/>
          <w:iCs/>
          <w:color w:val="1B252C"/>
          <w:sz w:val="21"/>
          <w:szCs w:val="21"/>
          <w:lang w:eastAsia="ru-RU"/>
        </w:rPr>
        <w:t>R</w:t>
      </w:r>
      <w:r w:rsidRPr="007D39C7">
        <w:rPr>
          <w:rFonts w:ascii="Helvetica" w:eastAsia="Times New Roman" w:hAnsi="Helvetica" w:cs="Helvetica"/>
          <w:i/>
          <w:iCs/>
          <w:color w:val="1B252C"/>
          <w:sz w:val="17"/>
          <w:szCs w:val="17"/>
          <w:vertAlign w:val="subscript"/>
          <w:lang w:eastAsia="ru-RU"/>
        </w:rPr>
        <w:t>кр</w:t>
      </w:r>
      <w:proofErr w:type="spellEnd"/>
      <w:r w:rsidRPr="007D39C7">
        <w:rPr>
          <w:rFonts w:ascii="Helvetica" w:eastAsia="Times New Roman" w:hAnsi="Helvetica" w:cs="Helvetica"/>
          <w:i/>
          <w:iCs/>
          <w:color w:val="1B252C"/>
          <w:sz w:val="21"/>
          <w:szCs w:val="21"/>
          <w:lang w:eastAsia="ru-RU"/>
        </w:rPr>
        <w:t xml:space="preserve">(1 − t) + </w:t>
      </w:r>
      <w:proofErr w:type="spellStart"/>
      <w:r w:rsidRPr="007D39C7">
        <w:rPr>
          <w:rFonts w:ascii="Helvetica" w:eastAsia="Times New Roman" w:hAnsi="Helvetica" w:cs="Helvetica"/>
          <w:i/>
          <w:iCs/>
          <w:color w:val="1B252C"/>
          <w:sz w:val="21"/>
          <w:szCs w:val="21"/>
          <w:lang w:eastAsia="ru-RU"/>
        </w:rPr>
        <w:t>w</w:t>
      </w:r>
      <w:r w:rsidRPr="007D39C7">
        <w:rPr>
          <w:rFonts w:ascii="Helvetica" w:eastAsia="Times New Roman" w:hAnsi="Helvetica" w:cs="Helvetica"/>
          <w:i/>
          <w:iCs/>
          <w:color w:val="1B252C"/>
          <w:sz w:val="17"/>
          <w:szCs w:val="17"/>
          <w:vertAlign w:val="subscript"/>
          <w:lang w:eastAsia="ru-RU"/>
        </w:rPr>
        <w:t>собст</w:t>
      </w:r>
      <w:r w:rsidRPr="007D39C7">
        <w:rPr>
          <w:rFonts w:ascii="Helvetica" w:eastAsia="Times New Roman" w:hAnsi="Helvetica" w:cs="Helvetica"/>
          <w:i/>
          <w:iCs/>
          <w:color w:val="1B252C"/>
          <w:sz w:val="21"/>
          <w:szCs w:val="21"/>
          <w:lang w:eastAsia="ru-RU"/>
        </w:rPr>
        <w:t>ROE</w:t>
      </w:r>
      <w:proofErr w:type="spellEnd"/>
      <w:r w:rsidRPr="007D39C7">
        <w:rPr>
          <w:rFonts w:ascii="Helvetica" w:eastAsia="Times New Roman" w:hAnsi="Helvetica" w:cs="Helvetica"/>
          <w:color w:val="1B252C"/>
          <w:sz w:val="21"/>
          <w:szCs w:val="21"/>
          <w:lang w:eastAsia="ru-RU"/>
        </w:rPr>
        <w:t>, где:</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proofErr w:type="spellStart"/>
      <w:r w:rsidRPr="007D39C7">
        <w:rPr>
          <w:rFonts w:ascii="Helvetica" w:eastAsia="Times New Roman" w:hAnsi="Helvetica" w:cs="Helvetica"/>
          <w:color w:val="1B252C"/>
          <w:sz w:val="21"/>
          <w:szCs w:val="21"/>
          <w:lang w:eastAsia="ru-RU"/>
        </w:rPr>
        <w:t>w</w:t>
      </w:r>
      <w:r w:rsidRPr="007D39C7">
        <w:rPr>
          <w:rFonts w:ascii="Helvetica" w:eastAsia="Times New Roman" w:hAnsi="Helvetica" w:cs="Helvetica"/>
          <w:color w:val="1B252C"/>
          <w:sz w:val="17"/>
          <w:szCs w:val="17"/>
          <w:vertAlign w:val="subscript"/>
          <w:lang w:eastAsia="ru-RU"/>
        </w:rPr>
        <w:t>кр</w:t>
      </w:r>
      <w:proofErr w:type="spellEnd"/>
      <w:r w:rsidRPr="007D39C7">
        <w:rPr>
          <w:rFonts w:ascii="Helvetica" w:eastAsia="Times New Roman" w:hAnsi="Helvetica" w:cs="Helvetica"/>
          <w:color w:val="1B252C"/>
          <w:sz w:val="21"/>
          <w:szCs w:val="21"/>
          <w:lang w:eastAsia="ru-RU"/>
        </w:rPr>
        <w:t xml:space="preserve"> и </w:t>
      </w:r>
      <w:proofErr w:type="spellStart"/>
      <w:r w:rsidRPr="007D39C7">
        <w:rPr>
          <w:rFonts w:ascii="Helvetica" w:eastAsia="Times New Roman" w:hAnsi="Helvetica" w:cs="Helvetica"/>
          <w:color w:val="1B252C"/>
          <w:sz w:val="21"/>
          <w:szCs w:val="21"/>
          <w:lang w:eastAsia="ru-RU"/>
        </w:rPr>
        <w:t>w</w:t>
      </w:r>
      <w:r w:rsidRPr="007D39C7">
        <w:rPr>
          <w:rFonts w:ascii="Helvetica" w:eastAsia="Times New Roman" w:hAnsi="Helvetica" w:cs="Helvetica"/>
          <w:color w:val="1B252C"/>
          <w:sz w:val="17"/>
          <w:szCs w:val="17"/>
          <w:vertAlign w:val="subscript"/>
          <w:lang w:eastAsia="ru-RU"/>
        </w:rPr>
        <w:t>собст</w:t>
      </w:r>
      <w:proofErr w:type="spellEnd"/>
      <w:r w:rsidRPr="007D39C7">
        <w:rPr>
          <w:rFonts w:ascii="Helvetica" w:eastAsia="Times New Roman" w:hAnsi="Helvetica" w:cs="Helvetica"/>
          <w:color w:val="1B252C"/>
          <w:sz w:val="21"/>
          <w:szCs w:val="21"/>
          <w:lang w:eastAsia="ru-RU"/>
        </w:rPr>
        <w:t> — доли заемных и собственных сре</w:t>
      </w:r>
      <w:proofErr w:type="gramStart"/>
      <w:r w:rsidRPr="007D39C7">
        <w:rPr>
          <w:rFonts w:ascii="Helvetica" w:eastAsia="Times New Roman" w:hAnsi="Helvetica" w:cs="Helvetica"/>
          <w:color w:val="1B252C"/>
          <w:sz w:val="21"/>
          <w:szCs w:val="21"/>
          <w:lang w:eastAsia="ru-RU"/>
        </w:rPr>
        <w:t>дств в к</w:t>
      </w:r>
      <w:proofErr w:type="gramEnd"/>
      <w:r w:rsidRPr="007D39C7">
        <w:rPr>
          <w:rFonts w:ascii="Helvetica" w:eastAsia="Times New Roman" w:hAnsi="Helvetica" w:cs="Helvetica"/>
          <w:color w:val="1B252C"/>
          <w:sz w:val="21"/>
          <w:szCs w:val="21"/>
          <w:lang w:eastAsia="ru-RU"/>
        </w:rPr>
        <w:t>апитале компании;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t — ставка налога на прибыль;</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lastRenderedPageBreak/>
        <w:t>ROE — рентабельность собственного капитала.</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 xml:space="preserve">2. Поскольку WACC компании отражает доходность обычной деятельности, а инвестиционный проект может существенно отличаться от обычной деятельности, то риски его будут выше (из-за отсутствия наработанной практики в этой сфере). Поэтому к </w:t>
      </w:r>
      <w:proofErr w:type="gramStart"/>
      <w:r w:rsidRPr="007D39C7">
        <w:rPr>
          <w:rFonts w:ascii="Helvetica" w:eastAsia="Times New Roman" w:hAnsi="Helvetica" w:cs="Helvetica"/>
          <w:color w:val="1B252C"/>
          <w:sz w:val="21"/>
          <w:szCs w:val="21"/>
          <w:lang w:eastAsia="ru-RU"/>
        </w:rPr>
        <w:t>рассчитанному</w:t>
      </w:r>
      <w:proofErr w:type="gramEnd"/>
      <w:r w:rsidRPr="007D39C7">
        <w:rPr>
          <w:rFonts w:ascii="Helvetica" w:eastAsia="Times New Roman" w:hAnsi="Helvetica" w:cs="Helvetica"/>
          <w:color w:val="1B252C"/>
          <w:sz w:val="21"/>
          <w:szCs w:val="21"/>
          <w:lang w:eastAsia="ru-RU"/>
        </w:rPr>
        <w:t xml:space="preserve"> WACC прибавляется дополнительная рисковая премия. Величина этой премии будет равна нулю для проектов, связанных с поддержанием текущего производства, и будет постепенно расти с ростом новизны деятельности проекта. Как правило, величина рисковых премий колеблется от 0,2 WACC для проектов расширения производства до 0,5–0,7 WACC в проектах, направленных на выход на совершенно новые рынки.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Итак, ставка дисконтирования может быть определена либо на основе требований инвестора, либо прибавлением рисковой премии к базовой стоимости капитала компании. Но следует помнить, что это номинальная ставка, которую можно использовать только в том случае, если все денежные потоки спрогнозированы с учетом инфляции. Если же инфляция в денежных потоках не учитывалась, то следуют сделать еще один шаг в определении ставки дисконтирования — перейти к реальной ставке, то есть ставки, не включающей инфляцию. Упрощенно, это делается вычитанием прогнозируемого уровня инфляции из номинальной ставки.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Теперь, когда ставка дисконтирования определена, можно рассчитать NPV. Формула этого показателя хорошо известна, но мы на всякий случай повторим ее еще раз</w:t>
      </w:r>
      <w:proofErr w:type="gramStart"/>
      <w:r w:rsidRPr="007D39C7">
        <w:rPr>
          <w:rFonts w:ascii="Helvetica" w:eastAsia="Times New Roman" w:hAnsi="Helvetica" w:cs="Helvetica"/>
          <w:color w:val="1B252C"/>
          <w:sz w:val="21"/>
          <w:szCs w:val="21"/>
          <w:lang w:eastAsia="ru-RU"/>
        </w:rPr>
        <w:t>:</w:t>
      </w:r>
      <w:proofErr w:type="gramEnd"/>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noProof/>
          <w:color w:val="1B252C"/>
          <w:sz w:val="21"/>
          <w:szCs w:val="21"/>
          <w:lang w:eastAsia="ru-RU"/>
        </w:rPr>
        <w:drawing>
          <wp:inline distT="0" distB="0" distL="0" distR="0" wp14:anchorId="1D9094F9" wp14:editId="4EAFD532">
            <wp:extent cx="1143000" cy="457200"/>
            <wp:effectExtent l="0" t="0" r="0" b="0"/>
            <wp:docPr id="1" name="Рисунок 1" descr="https://www.alt-invest.ru/wp-content/uploads/lib-instrukciya-dlya-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invest.ru/wp-content/uploads/lib-instrukciya-dlya-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7D39C7">
        <w:rPr>
          <w:rFonts w:ascii="Helvetica" w:eastAsia="Times New Roman" w:hAnsi="Helvetica" w:cs="Helvetica"/>
          <w:color w:val="1B252C"/>
          <w:sz w:val="21"/>
          <w:szCs w:val="21"/>
          <w:lang w:eastAsia="ru-RU"/>
        </w:rPr>
        <w:t>, где:</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NCF — чистый денежный поток проекта;</w:t>
      </w:r>
      <w:r w:rsidRPr="007D39C7">
        <w:rPr>
          <w:rFonts w:ascii="Helvetica" w:eastAsia="Times New Roman" w:hAnsi="Helvetica" w:cs="Helvetica"/>
          <w:color w:val="1B252C"/>
          <w:sz w:val="21"/>
          <w:szCs w:val="21"/>
          <w:lang w:eastAsia="ru-RU"/>
        </w:rPr>
        <w:br/>
        <w:t>d — ставка дисконтирования.</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Положительное значение NPV будет указывать на то, что проект эффективен. Кстати, величина этого положительного значения отражает одну из возможных оценок того, насколько вырастет стоимость бизнеса компании в результате реализации рассматриваемого инвестиционного проекта</w:t>
      </w:r>
      <w:bookmarkStart w:id="1" w:name="_ftnref1"/>
      <w:r w:rsidRPr="007D39C7">
        <w:rPr>
          <w:rFonts w:ascii="Helvetica" w:eastAsia="Times New Roman" w:hAnsi="Helvetica" w:cs="Helvetica"/>
          <w:color w:val="1B252C"/>
          <w:sz w:val="21"/>
          <w:szCs w:val="21"/>
          <w:lang w:eastAsia="ru-RU"/>
        </w:rPr>
        <w:fldChar w:fldCharType="begin"/>
      </w:r>
      <w:r w:rsidRPr="007D39C7">
        <w:rPr>
          <w:rFonts w:ascii="Helvetica" w:eastAsia="Times New Roman" w:hAnsi="Helvetica" w:cs="Helvetica"/>
          <w:color w:val="1B252C"/>
          <w:sz w:val="21"/>
          <w:szCs w:val="21"/>
          <w:lang w:eastAsia="ru-RU"/>
        </w:rPr>
        <w:instrText xml:space="preserve"> HYPERLINK "https://www.alt-invest.ru/lib/instrukciya-dlya-fd/" \l "_ftn1" </w:instrText>
      </w:r>
      <w:r w:rsidRPr="007D39C7">
        <w:rPr>
          <w:rFonts w:ascii="Helvetica" w:eastAsia="Times New Roman" w:hAnsi="Helvetica" w:cs="Helvetica"/>
          <w:color w:val="1B252C"/>
          <w:sz w:val="21"/>
          <w:szCs w:val="21"/>
          <w:lang w:eastAsia="ru-RU"/>
        </w:rPr>
        <w:fldChar w:fldCharType="separate"/>
      </w:r>
      <w:r w:rsidRPr="007D39C7">
        <w:rPr>
          <w:rFonts w:ascii="Helvetica" w:eastAsia="Times New Roman" w:hAnsi="Helvetica" w:cs="Helvetica"/>
          <w:color w:val="DE3538"/>
          <w:sz w:val="17"/>
          <w:szCs w:val="17"/>
          <w:u w:val="single"/>
          <w:vertAlign w:val="superscript"/>
          <w:lang w:eastAsia="ru-RU"/>
        </w:rPr>
        <w:t>1</w:t>
      </w:r>
      <w:r w:rsidRPr="007D39C7">
        <w:rPr>
          <w:rFonts w:ascii="Helvetica" w:eastAsia="Times New Roman" w:hAnsi="Helvetica" w:cs="Helvetica"/>
          <w:color w:val="1B252C"/>
          <w:sz w:val="21"/>
          <w:szCs w:val="21"/>
          <w:lang w:eastAsia="ru-RU"/>
        </w:rPr>
        <w:fldChar w:fldCharType="end"/>
      </w:r>
      <w:bookmarkEnd w:id="1"/>
      <w:r w:rsidRPr="007D39C7">
        <w:rPr>
          <w:rFonts w:ascii="Helvetica" w:eastAsia="Times New Roman" w:hAnsi="Helvetica" w:cs="Helvetica"/>
          <w:color w:val="1B252C"/>
          <w:sz w:val="21"/>
          <w:szCs w:val="21"/>
          <w:lang w:eastAsia="ru-RU"/>
        </w:rPr>
        <w:t>.</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Если показатель NPV по тем или иным причинам не совсем удобен, можно перейти к оценке проекта на основе модели Гордона. По сути дела, это тот же расчет NPV, но с двумя важными отличиями: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1. расчет ведется для бесконечного периода времени;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2. амортизация учитывается в составе затрат, т.е. делается предположение, что износ оборудования надо постоянно восполнять новыми инвестициями.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 xml:space="preserve">Для расчета в данном случае используется не отчет о движении денежных средств, а отчет о прибылях и убытках. На его основе формируется показатель, называемый чистая </w:t>
      </w:r>
      <w:proofErr w:type="spellStart"/>
      <w:r w:rsidRPr="007D39C7">
        <w:rPr>
          <w:rFonts w:ascii="Helvetica" w:eastAsia="Times New Roman" w:hAnsi="Helvetica" w:cs="Helvetica"/>
          <w:color w:val="1B252C"/>
          <w:sz w:val="21"/>
          <w:szCs w:val="21"/>
          <w:lang w:eastAsia="ru-RU"/>
        </w:rPr>
        <w:t>посленалоговая</w:t>
      </w:r>
      <w:proofErr w:type="spellEnd"/>
      <w:r w:rsidRPr="007D39C7">
        <w:rPr>
          <w:rFonts w:ascii="Helvetica" w:eastAsia="Times New Roman" w:hAnsi="Helvetica" w:cs="Helvetica"/>
          <w:color w:val="1B252C"/>
          <w:sz w:val="21"/>
          <w:szCs w:val="21"/>
          <w:lang w:eastAsia="ru-RU"/>
        </w:rPr>
        <w:t xml:space="preserve"> операционная прибыль, NOPLAT. Определяется она так:</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 Доход</w:t>
      </w:r>
      <w:r w:rsidRPr="007D39C7">
        <w:rPr>
          <w:rFonts w:ascii="Helvetica" w:eastAsia="Times New Roman" w:hAnsi="Helvetica" w:cs="Helvetica"/>
          <w:color w:val="1B252C"/>
          <w:sz w:val="21"/>
          <w:szCs w:val="21"/>
          <w:lang w:eastAsia="ru-RU"/>
        </w:rPr>
        <w:br/>
        <w:t>— Расходы на основную деятельность</w:t>
      </w:r>
      <w:r w:rsidRPr="007D39C7">
        <w:rPr>
          <w:rFonts w:ascii="Helvetica" w:eastAsia="Times New Roman" w:hAnsi="Helvetica" w:cs="Helvetica"/>
          <w:color w:val="1B252C"/>
          <w:sz w:val="21"/>
          <w:szCs w:val="21"/>
          <w:lang w:eastAsia="ru-RU"/>
        </w:rPr>
        <w:br/>
        <w:t>= Прибыль до выплаты налогов и процентов (EBIT)</w:t>
      </w:r>
      <w:r w:rsidRPr="007D39C7">
        <w:rPr>
          <w:rFonts w:ascii="Helvetica" w:eastAsia="Times New Roman" w:hAnsi="Helvetica" w:cs="Helvetica"/>
          <w:color w:val="1B252C"/>
          <w:sz w:val="21"/>
          <w:szCs w:val="21"/>
          <w:lang w:eastAsia="ru-RU"/>
        </w:rPr>
        <w:br/>
        <w:t>— Налог на прибыль</w:t>
      </w:r>
      <w:r w:rsidRPr="007D39C7">
        <w:rPr>
          <w:rFonts w:ascii="Helvetica" w:eastAsia="Times New Roman" w:hAnsi="Helvetica" w:cs="Helvetica"/>
          <w:color w:val="1B252C"/>
          <w:sz w:val="21"/>
          <w:szCs w:val="21"/>
          <w:lang w:eastAsia="ru-RU"/>
        </w:rPr>
        <w:br/>
        <w:t>= NOPLAT</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И соответственно, формула оценки бизнеса будет выглядеть так:</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noProof/>
          <w:color w:val="1B252C"/>
          <w:sz w:val="21"/>
          <w:szCs w:val="21"/>
          <w:lang w:eastAsia="ru-RU"/>
        </w:rPr>
        <w:lastRenderedPageBreak/>
        <w:drawing>
          <wp:inline distT="0" distB="0" distL="0" distR="0" wp14:anchorId="6A67B602" wp14:editId="27BE6C21">
            <wp:extent cx="828675" cy="342900"/>
            <wp:effectExtent l="0" t="0" r="9525" b="0"/>
            <wp:docPr id="2" name="Рисунок 2" descr="https://www.alt-invest.ru/wp-content/uploads/lib-instrukciya-dlya-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t-invest.ru/wp-content/uploads/lib-instrukciya-dlya-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342900"/>
                    </a:xfrm>
                    <a:prstGeom prst="rect">
                      <a:avLst/>
                    </a:prstGeom>
                    <a:noFill/>
                    <a:ln>
                      <a:noFill/>
                    </a:ln>
                  </pic:spPr>
                </pic:pic>
              </a:graphicData>
            </a:graphic>
          </wp:inline>
        </w:drawing>
      </w:r>
      <w:r w:rsidRPr="007D39C7">
        <w:rPr>
          <w:rFonts w:ascii="Helvetica" w:eastAsia="Times New Roman" w:hAnsi="Helvetica" w:cs="Helvetica"/>
          <w:color w:val="1B252C"/>
          <w:sz w:val="21"/>
          <w:szCs w:val="21"/>
          <w:lang w:eastAsia="ru-RU"/>
        </w:rPr>
        <w:t>, где:</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d — ставка дисконтирования;</w:t>
      </w:r>
      <w:r w:rsidRPr="007D39C7">
        <w:rPr>
          <w:rFonts w:ascii="Helvetica" w:eastAsia="Times New Roman" w:hAnsi="Helvetica" w:cs="Helvetica"/>
          <w:color w:val="1B252C"/>
          <w:sz w:val="21"/>
          <w:szCs w:val="21"/>
          <w:lang w:eastAsia="ru-RU"/>
        </w:rPr>
        <w:br/>
        <w:t>g — ожидаемые темпы среднегодового роста доходов. Этот показатель чаще всего оценивается на уровне прогнозируемой инфляции, иногда, для растущих рынков, на уровне на 2–3% выше инфляции.</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Принцип принятия решения на основе модели Гордона таков: если V оказывается выше, чем начальные инвестиции в проект, то вложения можно признать эффективными, если ниже, то проект убыточен.</w:t>
      </w:r>
    </w:p>
    <w:p w:rsidR="007D39C7" w:rsidRPr="007D39C7" w:rsidRDefault="007D39C7" w:rsidP="007D39C7">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7D39C7">
        <w:rPr>
          <w:rFonts w:ascii="Helvetica" w:eastAsia="Times New Roman" w:hAnsi="Helvetica" w:cs="Helvetica"/>
          <w:b/>
          <w:bCs/>
          <w:color w:val="363636"/>
          <w:sz w:val="20"/>
          <w:szCs w:val="20"/>
          <w:lang w:eastAsia="ru-RU"/>
        </w:rPr>
        <w:t>5. Заключение</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 xml:space="preserve">Приведенные здесь подходы к оценке проектов, разумеется, не охватывают всех возможных вопросов, связанных с инвестициями. И в частности, один из наиболее частых моментов, мешающих применению традиционного инвестиционного анализа, это определение цели инвестиционного проекта. Многие проекты компании трудно оценить с точки зрения денежных потоков. </w:t>
      </w:r>
      <w:proofErr w:type="gramStart"/>
      <w:r w:rsidRPr="007D39C7">
        <w:rPr>
          <w:rFonts w:ascii="Helvetica" w:eastAsia="Times New Roman" w:hAnsi="Helvetica" w:cs="Helvetica"/>
          <w:color w:val="1B252C"/>
          <w:sz w:val="21"/>
          <w:szCs w:val="21"/>
          <w:lang w:eastAsia="ru-RU"/>
        </w:rPr>
        <w:t>Ну</w:t>
      </w:r>
      <w:proofErr w:type="gramEnd"/>
      <w:r w:rsidRPr="007D39C7">
        <w:rPr>
          <w:rFonts w:ascii="Helvetica" w:eastAsia="Times New Roman" w:hAnsi="Helvetica" w:cs="Helvetica"/>
          <w:color w:val="1B252C"/>
          <w:sz w:val="21"/>
          <w:szCs w:val="21"/>
          <w:lang w:eastAsia="ru-RU"/>
        </w:rPr>
        <w:t xml:space="preserve"> например, какие доходы принесет внедрение ERP системы или замена оборудования на более современное? Наличие выгоды от реализации проекта может быть очевидным, но выразить эту выгоду в конкретных денежных потоках не всегда возможно.</w:t>
      </w:r>
    </w:p>
    <w:p w:rsidR="007D39C7" w:rsidRPr="007D39C7" w:rsidRDefault="007D39C7" w:rsidP="007D39C7">
      <w:pPr>
        <w:spacing w:before="100" w:beforeAutospacing="1" w:after="100" w:afterAutospacing="1" w:line="240" w:lineRule="auto"/>
        <w:rPr>
          <w:rFonts w:ascii="Helvetica" w:eastAsia="Times New Roman" w:hAnsi="Helvetica" w:cs="Helvetica"/>
          <w:color w:val="1B252C"/>
          <w:sz w:val="21"/>
          <w:szCs w:val="21"/>
          <w:lang w:eastAsia="ru-RU"/>
        </w:rPr>
      </w:pPr>
      <w:r w:rsidRPr="007D39C7">
        <w:rPr>
          <w:rFonts w:ascii="Helvetica" w:eastAsia="Times New Roman" w:hAnsi="Helvetica" w:cs="Helvetica"/>
          <w:color w:val="1B252C"/>
          <w:sz w:val="21"/>
          <w:szCs w:val="21"/>
          <w:lang w:eastAsia="ru-RU"/>
        </w:rPr>
        <w:t>Финансовый директор должен понимать эту слабость своей позиции, ориентированной на требование денежной отдачи на каждый инвестиционный проект. И в некоторых случаях можно признать, что проект является чисто затратным. Но даже для таких проектов следует аналогичным образом готовить прогнозные отчеты и рассчитывать значения NPV (которые, естественно, будут отрицательными). Это позволит зафиксировать экономическую стоимость ожидаемых качественных изменений, а также вести целенаправленную работу по повышению доли проектов с ясным финансовым будущим и снижению числа проектов, не имеющих увязки с финансовыми результатами компании. Как показывает практика, такая работа заметно повышает и качество планирования, и эффективность компании.</w:t>
      </w:r>
    </w:p>
    <w:p w:rsidR="0037679E" w:rsidRDefault="0037679E"/>
    <w:p w:rsidR="007D39C7" w:rsidRDefault="0037679E">
      <w:hyperlink r:id="rId10" w:history="1">
        <w:r w:rsidRPr="008A7B4B">
          <w:rPr>
            <w:rStyle w:val="a3"/>
          </w:rPr>
          <w:t>https://www.alt-invest.ru/lib/svyaz-s-ocenkoj-biznesa/</w:t>
        </w:r>
      </w:hyperlink>
      <w:r>
        <w:t xml:space="preserve"> </w:t>
      </w:r>
    </w:p>
    <w:p w:rsidR="0037679E" w:rsidRPr="0037679E" w:rsidRDefault="0037679E" w:rsidP="0037679E">
      <w:pPr>
        <w:spacing w:after="0" w:line="240" w:lineRule="auto"/>
        <w:outlineLvl w:val="0"/>
        <w:rPr>
          <w:rFonts w:ascii="Helvetica" w:eastAsia="Times New Roman" w:hAnsi="Helvetica" w:cs="Helvetica"/>
          <w:b/>
          <w:bCs/>
          <w:color w:val="363636"/>
          <w:kern w:val="36"/>
          <w:sz w:val="48"/>
          <w:szCs w:val="48"/>
          <w:lang w:eastAsia="ru-RU"/>
        </w:rPr>
      </w:pPr>
      <w:r w:rsidRPr="0037679E">
        <w:rPr>
          <w:rFonts w:ascii="Helvetica" w:eastAsia="Times New Roman" w:hAnsi="Helvetica" w:cs="Helvetica"/>
          <w:b/>
          <w:bCs/>
          <w:color w:val="363636"/>
          <w:kern w:val="36"/>
          <w:sz w:val="48"/>
          <w:szCs w:val="48"/>
          <w:lang w:eastAsia="ru-RU"/>
        </w:rPr>
        <w:t>Анализ эффективности инвестиционных проектов. Связь с оценкой бизнеса</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i/>
          <w:iCs/>
          <w:color w:val="1B252C"/>
          <w:sz w:val="21"/>
          <w:szCs w:val="21"/>
          <w:lang w:eastAsia="ru-RU"/>
        </w:rPr>
        <w:t>Дмитрий Рябых, генеральный директор компании «Альт-Инвест»</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При проведении оценки инвестиционного проекта эксперту приходится решать ряд вопросов, которые могут быть сведены к следующему базовому перечню:</w:t>
      </w:r>
    </w:p>
    <w:p w:rsidR="0037679E" w:rsidRPr="0037679E" w:rsidRDefault="0037679E" w:rsidP="0037679E">
      <w:pPr>
        <w:numPr>
          <w:ilvl w:val="0"/>
          <w:numId w:val="3"/>
        </w:numPr>
        <w:spacing w:after="0"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Можем ли мы реализовать такой проект? Соответствуют ли правовые, организационные и технологические аспекты нашего проекта требованиям, которые вероятнее всего предъявит нам жизнь?</w:t>
      </w:r>
    </w:p>
    <w:p w:rsidR="0037679E" w:rsidRPr="0037679E" w:rsidRDefault="0037679E" w:rsidP="0037679E">
      <w:pPr>
        <w:numPr>
          <w:ilvl w:val="0"/>
          <w:numId w:val="3"/>
        </w:numPr>
        <w:spacing w:after="0"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Обеспечен ли проект финансированием в достаточном объеме и достаточно ли мы защищены от финансовых рисков?</w:t>
      </w:r>
    </w:p>
    <w:p w:rsidR="0037679E" w:rsidRPr="0037679E" w:rsidRDefault="0037679E" w:rsidP="0037679E">
      <w:pPr>
        <w:numPr>
          <w:ilvl w:val="0"/>
          <w:numId w:val="3"/>
        </w:numPr>
        <w:spacing w:after="0"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Является ли этот проект эффективным, достаточно ли привлекательна для нас прибыль от его реализации?</w:t>
      </w:r>
    </w:p>
    <w:p w:rsidR="0037679E" w:rsidRPr="0037679E" w:rsidRDefault="0037679E" w:rsidP="0037679E">
      <w:pPr>
        <w:numPr>
          <w:ilvl w:val="0"/>
          <w:numId w:val="3"/>
        </w:numPr>
        <w:spacing w:after="0"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Приемлемы ли риски?</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lastRenderedPageBreak/>
        <w:t xml:space="preserve">Пропустив задачи других направлений анализа, рассмотрим подход, который применяется при анализе того, является ли инвестиционный проект достаточно прибыльным для инвестора. Традиционно, для такой оценки проекта применяется анализ дисконтированных денежных потоков проекта, на основе которых рассчитывается группа стандартных показателей. Как будет показано ниже, существует целый ряд случаев, охватывающих значительную долю проектов, когда применять эти показатели в чистом виде </w:t>
      </w:r>
      <w:proofErr w:type="gramStart"/>
      <w:r w:rsidRPr="0037679E">
        <w:rPr>
          <w:rFonts w:ascii="Helvetica" w:eastAsia="Times New Roman" w:hAnsi="Helvetica" w:cs="Helvetica"/>
          <w:color w:val="1B252C"/>
          <w:sz w:val="21"/>
          <w:szCs w:val="21"/>
          <w:lang w:eastAsia="ru-RU"/>
        </w:rPr>
        <w:t>не удобно</w:t>
      </w:r>
      <w:proofErr w:type="gramEnd"/>
      <w:r w:rsidRPr="0037679E">
        <w:rPr>
          <w:rFonts w:ascii="Helvetica" w:eastAsia="Times New Roman" w:hAnsi="Helvetica" w:cs="Helvetica"/>
          <w:color w:val="1B252C"/>
          <w:sz w:val="21"/>
          <w:szCs w:val="21"/>
          <w:lang w:eastAsia="ru-RU"/>
        </w:rPr>
        <w:t>, зато на помощь приходят методики и подходы из другой сферы — оценки бизнеса.</w:t>
      </w:r>
    </w:p>
    <w:p w:rsidR="0037679E" w:rsidRPr="0037679E" w:rsidRDefault="0037679E" w:rsidP="0037679E">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37679E">
        <w:rPr>
          <w:rFonts w:ascii="Helvetica" w:eastAsia="Times New Roman" w:hAnsi="Helvetica" w:cs="Helvetica"/>
          <w:b/>
          <w:bCs/>
          <w:color w:val="363636"/>
          <w:sz w:val="20"/>
          <w:szCs w:val="20"/>
          <w:lang w:eastAsia="ru-RU"/>
        </w:rPr>
        <w:t>Классический подход</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Для оценки эффективности инвестиционных затрат проекта традиционно используют следующие показатели:</w:t>
      </w:r>
    </w:p>
    <w:p w:rsidR="0037679E" w:rsidRPr="0037679E" w:rsidRDefault="0037679E" w:rsidP="0037679E">
      <w:pPr>
        <w:numPr>
          <w:ilvl w:val="0"/>
          <w:numId w:val="4"/>
        </w:numPr>
        <w:spacing w:after="0"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дисконтированный срок окупаемости (</w:t>
      </w:r>
      <w:proofErr w:type="spellStart"/>
      <w:r w:rsidRPr="0037679E">
        <w:rPr>
          <w:rFonts w:ascii="Helvetica" w:eastAsia="Times New Roman" w:hAnsi="Helvetica" w:cs="Helvetica"/>
          <w:color w:val="1B252C"/>
          <w:sz w:val="21"/>
          <w:szCs w:val="21"/>
          <w:lang w:eastAsia="ru-RU"/>
        </w:rPr>
        <w:t>Pay-Back</w:t>
      </w:r>
      <w:proofErr w:type="spellEnd"/>
      <w:r w:rsidRPr="0037679E">
        <w:rPr>
          <w:rFonts w:ascii="Helvetica" w:eastAsia="Times New Roman" w:hAnsi="Helvetica" w:cs="Helvetica"/>
          <w:color w:val="1B252C"/>
          <w:sz w:val="21"/>
          <w:szCs w:val="21"/>
          <w:lang w:eastAsia="ru-RU"/>
        </w:rPr>
        <w:t xml:space="preserve"> </w:t>
      </w:r>
      <w:proofErr w:type="spellStart"/>
      <w:r w:rsidRPr="0037679E">
        <w:rPr>
          <w:rFonts w:ascii="Helvetica" w:eastAsia="Times New Roman" w:hAnsi="Helvetica" w:cs="Helvetica"/>
          <w:color w:val="1B252C"/>
          <w:sz w:val="21"/>
          <w:szCs w:val="21"/>
          <w:lang w:eastAsia="ru-RU"/>
        </w:rPr>
        <w:t>Period</w:t>
      </w:r>
      <w:proofErr w:type="spellEnd"/>
      <w:r w:rsidRPr="0037679E">
        <w:rPr>
          <w:rFonts w:ascii="Helvetica" w:eastAsia="Times New Roman" w:hAnsi="Helvetica" w:cs="Helvetica"/>
          <w:color w:val="1B252C"/>
          <w:sz w:val="21"/>
          <w:szCs w:val="21"/>
          <w:lang w:eastAsia="ru-RU"/>
        </w:rPr>
        <w:t>, PBP);</w:t>
      </w:r>
    </w:p>
    <w:p w:rsidR="0037679E" w:rsidRPr="0037679E" w:rsidRDefault="0037679E" w:rsidP="0037679E">
      <w:pPr>
        <w:numPr>
          <w:ilvl w:val="0"/>
          <w:numId w:val="4"/>
        </w:numPr>
        <w:spacing w:after="0"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чистая текущая стоимость (</w:t>
      </w:r>
      <w:proofErr w:type="spellStart"/>
      <w:r w:rsidRPr="0037679E">
        <w:rPr>
          <w:rFonts w:ascii="Helvetica" w:eastAsia="Times New Roman" w:hAnsi="Helvetica" w:cs="Helvetica"/>
          <w:color w:val="1B252C"/>
          <w:sz w:val="21"/>
          <w:szCs w:val="21"/>
          <w:lang w:eastAsia="ru-RU"/>
        </w:rPr>
        <w:t>Net</w:t>
      </w:r>
      <w:proofErr w:type="spellEnd"/>
      <w:r w:rsidRPr="0037679E">
        <w:rPr>
          <w:rFonts w:ascii="Helvetica" w:eastAsia="Times New Roman" w:hAnsi="Helvetica" w:cs="Helvetica"/>
          <w:color w:val="1B252C"/>
          <w:sz w:val="21"/>
          <w:szCs w:val="21"/>
          <w:lang w:eastAsia="ru-RU"/>
        </w:rPr>
        <w:t xml:space="preserve"> </w:t>
      </w:r>
      <w:proofErr w:type="spellStart"/>
      <w:r w:rsidRPr="0037679E">
        <w:rPr>
          <w:rFonts w:ascii="Helvetica" w:eastAsia="Times New Roman" w:hAnsi="Helvetica" w:cs="Helvetica"/>
          <w:color w:val="1B252C"/>
          <w:sz w:val="21"/>
          <w:szCs w:val="21"/>
          <w:lang w:eastAsia="ru-RU"/>
        </w:rPr>
        <w:t>Present</w:t>
      </w:r>
      <w:proofErr w:type="spellEnd"/>
      <w:r w:rsidRPr="0037679E">
        <w:rPr>
          <w:rFonts w:ascii="Helvetica" w:eastAsia="Times New Roman" w:hAnsi="Helvetica" w:cs="Helvetica"/>
          <w:color w:val="1B252C"/>
          <w:sz w:val="21"/>
          <w:szCs w:val="21"/>
          <w:lang w:eastAsia="ru-RU"/>
        </w:rPr>
        <w:t xml:space="preserve"> </w:t>
      </w:r>
      <w:proofErr w:type="spellStart"/>
      <w:r w:rsidRPr="0037679E">
        <w:rPr>
          <w:rFonts w:ascii="Helvetica" w:eastAsia="Times New Roman" w:hAnsi="Helvetica" w:cs="Helvetica"/>
          <w:color w:val="1B252C"/>
          <w:sz w:val="21"/>
          <w:szCs w:val="21"/>
          <w:lang w:eastAsia="ru-RU"/>
        </w:rPr>
        <w:t>Value</w:t>
      </w:r>
      <w:proofErr w:type="spellEnd"/>
      <w:r w:rsidRPr="0037679E">
        <w:rPr>
          <w:rFonts w:ascii="Helvetica" w:eastAsia="Times New Roman" w:hAnsi="Helvetica" w:cs="Helvetica"/>
          <w:color w:val="1B252C"/>
          <w:sz w:val="21"/>
          <w:szCs w:val="21"/>
          <w:lang w:eastAsia="ru-RU"/>
        </w:rPr>
        <w:t>, NPV);</w:t>
      </w:r>
    </w:p>
    <w:p w:rsidR="0037679E" w:rsidRPr="0037679E" w:rsidRDefault="0037679E" w:rsidP="0037679E">
      <w:pPr>
        <w:numPr>
          <w:ilvl w:val="0"/>
          <w:numId w:val="4"/>
        </w:numPr>
        <w:spacing w:after="0" w:line="240" w:lineRule="auto"/>
        <w:rPr>
          <w:rFonts w:ascii="Helvetica" w:eastAsia="Times New Roman" w:hAnsi="Helvetica" w:cs="Helvetica"/>
          <w:color w:val="1B252C"/>
          <w:sz w:val="21"/>
          <w:szCs w:val="21"/>
          <w:lang w:val="en-US" w:eastAsia="ru-RU"/>
        </w:rPr>
      </w:pPr>
      <w:r w:rsidRPr="0037679E">
        <w:rPr>
          <w:rFonts w:ascii="Helvetica" w:eastAsia="Times New Roman" w:hAnsi="Helvetica" w:cs="Helvetica"/>
          <w:color w:val="1B252C"/>
          <w:sz w:val="21"/>
          <w:szCs w:val="21"/>
          <w:lang w:eastAsia="ru-RU"/>
        </w:rPr>
        <w:t>внутренняя</w:t>
      </w:r>
      <w:r w:rsidRPr="0037679E">
        <w:rPr>
          <w:rFonts w:ascii="Helvetica" w:eastAsia="Times New Roman" w:hAnsi="Helvetica" w:cs="Helvetica"/>
          <w:color w:val="1B252C"/>
          <w:sz w:val="21"/>
          <w:szCs w:val="21"/>
          <w:lang w:val="en-US" w:eastAsia="ru-RU"/>
        </w:rPr>
        <w:t xml:space="preserve"> </w:t>
      </w:r>
      <w:r w:rsidRPr="0037679E">
        <w:rPr>
          <w:rFonts w:ascii="Helvetica" w:eastAsia="Times New Roman" w:hAnsi="Helvetica" w:cs="Helvetica"/>
          <w:color w:val="1B252C"/>
          <w:sz w:val="21"/>
          <w:szCs w:val="21"/>
          <w:lang w:eastAsia="ru-RU"/>
        </w:rPr>
        <w:t>норма</w:t>
      </w:r>
      <w:r w:rsidRPr="0037679E">
        <w:rPr>
          <w:rFonts w:ascii="Helvetica" w:eastAsia="Times New Roman" w:hAnsi="Helvetica" w:cs="Helvetica"/>
          <w:color w:val="1B252C"/>
          <w:sz w:val="21"/>
          <w:szCs w:val="21"/>
          <w:lang w:val="en-US" w:eastAsia="ru-RU"/>
        </w:rPr>
        <w:t xml:space="preserve"> </w:t>
      </w:r>
      <w:r w:rsidRPr="0037679E">
        <w:rPr>
          <w:rFonts w:ascii="Helvetica" w:eastAsia="Times New Roman" w:hAnsi="Helvetica" w:cs="Helvetica"/>
          <w:color w:val="1B252C"/>
          <w:sz w:val="21"/>
          <w:szCs w:val="21"/>
          <w:lang w:eastAsia="ru-RU"/>
        </w:rPr>
        <w:t>рентабельности</w:t>
      </w:r>
      <w:r w:rsidRPr="0037679E">
        <w:rPr>
          <w:rFonts w:ascii="Helvetica" w:eastAsia="Times New Roman" w:hAnsi="Helvetica" w:cs="Helvetica"/>
          <w:color w:val="1B252C"/>
          <w:sz w:val="21"/>
          <w:szCs w:val="21"/>
          <w:lang w:val="en-US" w:eastAsia="ru-RU"/>
        </w:rPr>
        <w:t xml:space="preserve"> (Internal Rate of Return, IRR).</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Именно этот набор показателей приводится в резюме бизнес-плана инвестиционного проекта и используется заинтересованными сторонами для оценки коммерческой привлекательности инвестиционной идеи. Базой для расчета показателей эффективности являются так называемые </w:t>
      </w:r>
      <w:r w:rsidRPr="0037679E">
        <w:rPr>
          <w:rFonts w:ascii="Helvetica" w:eastAsia="Times New Roman" w:hAnsi="Helvetica" w:cs="Helvetica"/>
          <w:i/>
          <w:iCs/>
          <w:color w:val="1B252C"/>
          <w:sz w:val="21"/>
          <w:szCs w:val="21"/>
          <w:lang w:eastAsia="ru-RU"/>
        </w:rPr>
        <w:t>чистые денежные потоки</w:t>
      </w:r>
      <w:r w:rsidRPr="0037679E">
        <w:rPr>
          <w:rFonts w:ascii="Helvetica" w:eastAsia="Times New Roman" w:hAnsi="Helvetica" w:cs="Helvetica"/>
          <w:color w:val="1B252C"/>
          <w:sz w:val="21"/>
          <w:szCs w:val="21"/>
          <w:lang w:eastAsia="ru-RU"/>
        </w:rPr>
        <w:t> (</w:t>
      </w:r>
      <w:proofErr w:type="spellStart"/>
      <w:r w:rsidRPr="0037679E">
        <w:rPr>
          <w:rFonts w:ascii="Helvetica" w:eastAsia="Times New Roman" w:hAnsi="Helvetica" w:cs="Helvetica"/>
          <w:color w:val="1B252C"/>
          <w:sz w:val="21"/>
          <w:szCs w:val="21"/>
          <w:lang w:eastAsia="ru-RU"/>
        </w:rPr>
        <w:t>Net</w:t>
      </w:r>
      <w:proofErr w:type="spellEnd"/>
      <w:r w:rsidRPr="0037679E">
        <w:rPr>
          <w:rFonts w:ascii="Helvetica" w:eastAsia="Times New Roman" w:hAnsi="Helvetica" w:cs="Helvetica"/>
          <w:color w:val="1B252C"/>
          <w:sz w:val="21"/>
          <w:szCs w:val="21"/>
          <w:lang w:eastAsia="ru-RU"/>
        </w:rPr>
        <w:t xml:space="preserve"> </w:t>
      </w:r>
      <w:proofErr w:type="spellStart"/>
      <w:r w:rsidRPr="0037679E">
        <w:rPr>
          <w:rFonts w:ascii="Helvetica" w:eastAsia="Times New Roman" w:hAnsi="Helvetica" w:cs="Helvetica"/>
          <w:color w:val="1B252C"/>
          <w:sz w:val="21"/>
          <w:szCs w:val="21"/>
          <w:lang w:eastAsia="ru-RU"/>
        </w:rPr>
        <w:t>Cash-Flow</w:t>
      </w:r>
      <w:proofErr w:type="spellEnd"/>
      <w:r w:rsidRPr="0037679E">
        <w:rPr>
          <w:rFonts w:ascii="Helvetica" w:eastAsia="Times New Roman" w:hAnsi="Helvetica" w:cs="Helvetica"/>
          <w:color w:val="1B252C"/>
          <w:sz w:val="21"/>
          <w:szCs w:val="21"/>
          <w:lang w:eastAsia="ru-RU"/>
        </w:rPr>
        <w:t>, NCF), включающие в себя выручку от реализации, текущие и инвестиционные затраты, прирост потребности в оборотном капитале и налоговые платежи. Название «чистые потоки» говорит о том, что потоки не учитывают схему финансирования — вложение собственных средств и привлечение кредитных ресурсов. Без этого вложения денежный поток проекта будет, естественно получаться отрицательным на начальном этапе и накопленные денежные средства будут выглядеть так, как это показано на рисунке.</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drawing>
          <wp:inline distT="0" distB="0" distL="0" distR="0" wp14:anchorId="236D28CA" wp14:editId="2DC287C1">
            <wp:extent cx="5848350" cy="3267075"/>
            <wp:effectExtent l="0" t="0" r="0" b="0"/>
            <wp:docPr id="3" name="Рисунок 3" descr="https://www.alt-invest.ru/wp-content/uploads/svyaz-s-ocenkoj-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t-invest.ru/wp-content/uploads/svyaz-s-ocenkoj-0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3267075"/>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На этом графике инвестора интересует несколько значений. Во-первых, это срок окупаемости проекта. Такой срок определяется по времени, требующемуся для того, чтобы суммарные чистые доходы проекта сравнялись с его затратами. На графике это точка, в которой NCF нарастающим итогом выйдет на положительные значения. В нашем примере — в 2012 году. Но ни один инвестор не согласится расстаться с сегодняшними деньгами в пользу будущих, достаточно отдаленных доходов, если эти доходы будут лишь покрывать инвестиции. Поэтому в оценке эффективности проекта всегда используются </w:t>
      </w:r>
      <w:r w:rsidRPr="0037679E">
        <w:rPr>
          <w:rFonts w:ascii="Helvetica" w:eastAsia="Times New Roman" w:hAnsi="Helvetica" w:cs="Helvetica"/>
          <w:i/>
          <w:iCs/>
          <w:color w:val="1B252C"/>
          <w:sz w:val="21"/>
          <w:szCs w:val="21"/>
          <w:lang w:eastAsia="ru-RU"/>
        </w:rPr>
        <w:t>дисконтированные</w:t>
      </w:r>
      <w:r w:rsidRPr="0037679E">
        <w:rPr>
          <w:rFonts w:ascii="Helvetica" w:eastAsia="Times New Roman" w:hAnsi="Helvetica" w:cs="Helvetica"/>
          <w:color w:val="1B252C"/>
          <w:sz w:val="21"/>
          <w:szCs w:val="21"/>
          <w:lang w:eastAsia="ru-RU"/>
        </w:rPr>
        <w:t> денежные потоки, в которых NCF каждого года уменьшается на величину ставки дисконтирования по формуле</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lastRenderedPageBreak/>
        <w:drawing>
          <wp:inline distT="0" distB="0" distL="0" distR="0" wp14:anchorId="6466728D" wp14:editId="49456C41">
            <wp:extent cx="1457325" cy="257175"/>
            <wp:effectExtent l="0" t="0" r="9525" b="9525"/>
            <wp:docPr id="4" name="Рисунок 4" descr="https://www.alt-invest.ru/wp-content/uploads/svyaz-s-ocenkoj-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t-invest.ru/wp-content/uploads/svyaz-s-ocenkoj-0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257175"/>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где i — номер года проекта, а d — ставка дисконтирования. То есть, будущие денежные потоки «обесцениваются» для инвестора с годовыми темпами, равными ставке дисконтирования.</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В результате, для нашего случая окупаемость проекта смещается на 2014 год.</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Принцип расчета PBP всегда сводится к построению графика и </w:t>
      </w:r>
      <w:proofErr w:type="gramStart"/>
      <w:r w:rsidRPr="0037679E">
        <w:rPr>
          <w:rFonts w:ascii="Helvetica" w:eastAsia="Times New Roman" w:hAnsi="Helvetica" w:cs="Helvetica"/>
          <w:color w:val="1B252C"/>
          <w:sz w:val="21"/>
          <w:szCs w:val="21"/>
          <w:lang w:eastAsia="ru-RU"/>
        </w:rPr>
        <w:t>нахождении</w:t>
      </w:r>
      <w:proofErr w:type="gramEnd"/>
      <w:r w:rsidRPr="0037679E">
        <w:rPr>
          <w:rFonts w:ascii="Helvetica" w:eastAsia="Times New Roman" w:hAnsi="Helvetica" w:cs="Helvetica"/>
          <w:color w:val="1B252C"/>
          <w:sz w:val="21"/>
          <w:szCs w:val="21"/>
          <w:lang w:eastAsia="ru-RU"/>
        </w:rPr>
        <w:t xml:space="preserve"> точки, в которой накопленный дисконтированный NCF выходит на положительные значения.</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Другой важный показатель проекта, NPV, хотя и виден очень хорошо на графике денежных потоков, обычно рассчитывается по формуле. Суть NPV — чистый доход, который принесет проект с учетом дисконтирования. </w:t>
      </w:r>
      <w:proofErr w:type="gramStart"/>
      <w:r w:rsidRPr="0037679E">
        <w:rPr>
          <w:rFonts w:ascii="Helvetica" w:eastAsia="Times New Roman" w:hAnsi="Helvetica" w:cs="Helvetica"/>
          <w:color w:val="1B252C"/>
          <w:sz w:val="21"/>
          <w:szCs w:val="21"/>
          <w:lang w:eastAsia="ru-RU"/>
        </w:rPr>
        <w:t>На графике это то значение, которой принимает накопленный дисконтированный NCF проекта к моменту окончания расчетов (в примере</w:t>
      </w:r>
      <w:proofErr w:type="gramEnd"/>
      <w:r w:rsidRPr="0037679E">
        <w:rPr>
          <w:rFonts w:ascii="Helvetica" w:eastAsia="Times New Roman" w:hAnsi="Helvetica" w:cs="Helvetica"/>
          <w:color w:val="1B252C"/>
          <w:sz w:val="21"/>
          <w:szCs w:val="21"/>
          <w:lang w:eastAsia="ru-RU"/>
        </w:rPr>
        <w:t xml:space="preserve"> — около 500). Формула же NPV выглядит так:</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drawing>
          <wp:inline distT="0" distB="0" distL="0" distR="0" wp14:anchorId="1ECEF5A3" wp14:editId="04B24057">
            <wp:extent cx="1181100" cy="447675"/>
            <wp:effectExtent l="0" t="0" r="0" b="9525"/>
            <wp:docPr id="5" name="Рисунок 5" descr="https://www.alt-invest.ru/wp-content/uploads/svyaz-s-ocenkoj-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t-invest.ru/wp-content/uploads/svyaz-s-ocenkoj-0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где </w:t>
      </w:r>
      <w:proofErr w:type="spellStart"/>
      <w:r w:rsidRPr="0037679E">
        <w:rPr>
          <w:rFonts w:ascii="Helvetica" w:eastAsia="Times New Roman" w:hAnsi="Helvetica" w:cs="Helvetica"/>
          <w:i/>
          <w:iCs/>
          <w:color w:val="1B252C"/>
          <w:sz w:val="21"/>
          <w:szCs w:val="21"/>
          <w:lang w:eastAsia="ru-RU"/>
        </w:rPr>
        <w:t>NCF</w:t>
      </w:r>
      <w:r w:rsidRPr="0037679E">
        <w:rPr>
          <w:rFonts w:ascii="Helvetica" w:eastAsia="Times New Roman" w:hAnsi="Helvetica" w:cs="Helvetica"/>
          <w:i/>
          <w:iCs/>
          <w:color w:val="1B252C"/>
          <w:sz w:val="17"/>
          <w:szCs w:val="17"/>
          <w:vertAlign w:val="subscript"/>
          <w:lang w:eastAsia="ru-RU"/>
        </w:rPr>
        <w:t>i</w:t>
      </w:r>
      <w:proofErr w:type="spellEnd"/>
      <w:r w:rsidRPr="0037679E">
        <w:rPr>
          <w:rFonts w:ascii="Helvetica" w:eastAsia="Times New Roman" w:hAnsi="Helvetica" w:cs="Helvetica"/>
          <w:color w:val="1B252C"/>
          <w:sz w:val="21"/>
          <w:szCs w:val="21"/>
          <w:lang w:eastAsia="ru-RU"/>
        </w:rPr>
        <w:t> — чистый денежный поток i-</w:t>
      </w:r>
      <w:proofErr w:type="spellStart"/>
      <w:r w:rsidRPr="0037679E">
        <w:rPr>
          <w:rFonts w:ascii="Helvetica" w:eastAsia="Times New Roman" w:hAnsi="Helvetica" w:cs="Helvetica"/>
          <w:color w:val="1B252C"/>
          <w:sz w:val="21"/>
          <w:szCs w:val="21"/>
          <w:lang w:eastAsia="ru-RU"/>
        </w:rPr>
        <w:t>го</w:t>
      </w:r>
      <w:proofErr w:type="spellEnd"/>
      <w:r w:rsidRPr="0037679E">
        <w:rPr>
          <w:rFonts w:ascii="Helvetica" w:eastAsia="Times New Roman" w:hAnsi="Helvetica" w:cs="Helvetica"/>
          <w:color w:val="1B252C"/>
          <w:sz w:val="21"/>
          <w:szCs w:val="21"/>
          <w:lang w:eastAsia="ru-RU"/>
        </w:rPr>
        <w:t xml:space="preserve"> года, а </w:t>
      </w:r>
      <w:r w:rsidRPr="0037679E">
        <w:rPr>
          <w:rFonts w:ascii="Helvetica" w:eastAsia="Times New Roman" w:hAnsi="Helvetica" w:cs="Helvetica"/>
          <w:i/>
          <w:iCs/>
          <w:color w:val="1B252C"/>
          <w:sz w:val="21"/>
          <w:szCs w:val="21"/>
          <w:lang w:eastAsia="ru-RU"/>
        </w:rPr>
        <w:t>N</w:t>
      </w:r>
      <w:r w:rsidRPr="0037679E">
        <w:rPr>
          <w:rFonts w:ascii="Helvetica" w:eastAsia="Times New Roman" w:hAnsi="Helvetica" w:cs="Helvetica"/>
          <w:color w:val="1B252C"/>
          <w:sz w:val="21"/>
          <w:szCs w:val="21"/>
          <w:lang w:eastAsia="ru-RU"/>
        </w:rPr>
        <w:t> — общее число лет.</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Если в отношении срока окупаемости единых критериев приемлемости не существует, то анализ проекта по уровню NPV выглядит существенно проще. Любое положительное значение NPV считается показателем хорошей эффективности проекта. При этом конкретная величина NPV указывает не на прибыль инвестора (хотя название показателя и переводят иногда как «чистый приведенный доход»), а на «сверхприбыль», т.е. на тот дополнительный доход, который будет получен инвестором </w:t>
      </w:r>
      <w:proofErr w:type="gramStart"/>
      <w:r w:rsidRPr="0037679E">
        <w:rPr>
          <w:rFonts w:ascii="Helvetica" w:eastAsia="Times New Roman" w:hAnsi="Helvetica" w:cs="Helvetica"/>
          <w:color w:val="1B252C"/>
          <w:sz w:val="21"/>
          <w:szCs w:val="21"/>
          <w:lang w:eastAsia="ru-RU"/>
        </w:rPr>
        <w:t>сверх</w:t>
      </w:r>
      <w:proofErr w:type="gramEnd"/>
      <w:r w:rsidRPr="0037679E">
        <w:rPr>
          <w:rFonts w:ascii="Helvetica" w:eastAsia="Times New Roman" w:hAnsi="Helvetica" w:cs="Helvetica"/>
          <w:color w:val="1B252C"/>
          <w:sz w:val="21"/>
          <w:szCs w:val="21"/>
          <w:lang w:eastAsia="ru-RU"/>
        </w:rPr>
        <w:t xml:space="preserve"> ожидаемого.</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Расчета NPV, как правило, достаточно для принятия решений по проекту. Но его значение выглядит не очень показательным, из него может быть понятно, что проект выгоден и привлекателен, но трудно оценить — насколько привлекателен. Поэтому в помощь NPV применяют третий стандартный показатель — внутренняя норма рентабельности.</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Внутренняя норма рентабельности проекта (IRR) — это такое значение ставки дисконтирования d, при котором NPV становится равным 0. То есть IRR </w:t>
      </w:r>
      <w:proofErr w:type="gramStart"/>
      <w:r w:rsidRPr="0037679E">
        <w:rPr>
          <w:rFonts w:ascii="Helvetica" w:eastAsia="Times New Roman" w:hAnsi="Helvetica" w:cs="Helvetica"/>
          <w:color w:val="1B252C"/>
          <w:sz w:val="21"/>
          <w:szCs w:val="21"/>
          <w:lang w:eastAsia="ru-RU"/>
        </w:rPr>
        <w:t>показывает</w:t>
      </w:r>
      <w:proofErr w:type="gramEnd"/>
      <w:r w:rsidRPr="0037679E">
        <w:rPr>
          <w:rFonts w:ascii="Helvetica" w:eastAsia="Times New Roman" w:hAnsi="Helvetica" w:cs="Helvetica"/>
          <w:color w:val="1B252C"/>
          <w:sz w:val="21"/>
          <w:szCs w:val="21"/>
          <w:lang w:eastAsia="ru-RU"/>
        </w:rPr>
        <w:t xml:space="preserve"> какое максимальное требование к годовому доходу на вложенные деньги инвестор может закладывать в свои расчеты так, чтобы проект еще выглядел привлекательным. Например, если для финансирования проекта используются деньги банка, то IRR продемонстрирует максимальную величину процентной ставки по кредиту, которую теоретически способен окупить проект.</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Рассчитать значение IRR по формуле невозможно, этот показатель всегда находится подбором. Например, для отображенного выше денежного потока значение чистого дохода без учета дисконтирования составило 3300, а по мере увеличения </w:t>
      </w:r>
      <w:proofErr w:type="gramStart"/>
      <w:r w:rsidRPr="0037679E">
        <w:rPr>
          <w:rFonts w:ascii="Helvetica" w:eastAsia="Times New Roman" w:hAnsi="Helvetica" w:cs="Helvetica"/>
          <w:color w:val="1B252C"/>
          <w:sz w:val="21"/>
          <w:szCs w:val="21"/>
          <w:lang w:eastAsia="ru-RU"/>
        </w:rPr>
        <w:t>ставки</w:t>
      </w:r>
      <w:proofErr w:type="gramEnd"/>
      <w:r w:rsidRPr="0037679E">
        <w:rPr>
          <w:rFonts w:ascii="Helvetica" w:eastAsia="Times New Roman" w:hAnsi="Helvetica" w:cs="Helvetica"/>
          <w:color w:val="1B252C"/>
          <w:sz w:val="21"/>
          <w:szCs w:val="21"/>
          <w:lang w:eastAsia="ru-RU"/>
        </w:rPr>
        <w:t xml:space="preserve"> будущие доходы все меньше перекрывали начальные инвестиции и, как показано ниже, при ставке 20% величина NPV стала равна нулю. Это и есть значение IRR данного проекта.</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lastRenderedPageBreak/>
        <w:drawing>
          <wp:inline distT="0" distB="0" distL="0" distR="0" wp14:anchorId="527DD579" wp14:editId="4073700E">
            <wp:extent cx="6096000" cy="3248025"/>
            <wp:effectExtent l="0" t="0" r="0" b="0"/>
            <wp:docPr id="6" name="Рисунок 6" descr="https://www.alt-invest.ru/wp-content/uploads/svyaz-s-ocenkoj-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t-invest.ru/wp-content/uploads/svyaz-s-ocenkoj-0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3248025"/>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Итак, с точки зрения классических представлений об оценке инвестиционных проектов, необходимо рассчитать три показателя: NPV, PBP и IRR. При этом инвестора должны устроить значения окупаемости проекта и IRR, а величина NPV должна быть больше нуля.</w:t>
      </w:r>
    </w:p>
    <w:p w:rsidR="0037679E" w:rsidRPr="0037679E" w:rsidRDefault="0037679E" w:rsidP="0037679E">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37679E">
        <w:rPr>
          <w:rFonts w:ascii="Helvetica" w:eastAsia="Times New Roman" w:hAnsi="Helvetica" w:cs="Helvetica"/>
          <w:b/>
          <w:bCs/>
          <w:color w:val="363636"/>
          <w:sz w:val="20"/>
          <w:szCs w:val="20"/>
          <w:lang w:eastAsia="ru-RU"/>
        </w:rPr>
        <w:t>Ставка дисконтирования</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В основе всех описанных расчетов лежало дисконтирование прогнозируемых денежных потоков. Для того</w:t>
      </w:r>
      <w:proofErr w:type="gramStart"/>
      <w:r w:rsidRPr="0037679E">
        <w:rPr>
          <w:rFonts w:ascii="Helvetica" w:eastAsia="Times New Roman" w:hAnsi="Helvetica" w:cs="Helvetica"/>
          <w:color w:val="1B252C"/>
          <w:sz w:val="21"/>
          <w:szCs w:val="21"/>
          <w:lang w:eastAsia="ru-RU"/>
        </w:rPr>
        <w:t>,</w:t>
      </w:r>
      <w:proofErr w:type="gramEnd"/>
      <w:r w:rsidRPr="0037679E">
        <w:rPr>
          <w:rFonts w:ascii="Helvetica" w:eastAsia="Times New Roman" w:hAnsi="Helvetica" w:cs="Helvetica"/>
          <w:color w:val="1B252C"/>
          <w:sz w:val="21"/>
          <w:szCs w:val="21"/>
          <w:lang w:eastAsia="ru-RU"/>
        </w:rPr>
        <w:t xml:space="preserve"> чтобы провести его, необходимо выбрать ставку дисконтирования. Смысл ставки дисконтирования — отражение в расчетах влияния стоимости денег. Иногда уже этого определения бывает достаточно для того, чтобы принять решение о ее величине. Например, если проект будет финансироваться полностью за счет средств банковского кредита, то ставка дисконтирования равна процентной ставке по кредиту.</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В более сложном случае, когда инвестируемый капитал взят из разных источников, расчет ставки дисконтирования усложняется, но незначительно. Теперь, вместо процентов по кредитам, в расчете используется понятие средневзвешенной стоимости капитала (</w:t>
      </w:r>
      <w:proofErr w:type="spellStart"/>
      <w:r w:rsidRPr="0037679E">
        <w:rPr>
          <w:rFonts w:ascii="Helvetica" w:eastAsia="Times New Roman" w:hAnsi="Helvetica" w:cs="Helvetica"/>
          <w:color w:val="1B252C"/>
          <w:sz w:val="21"/>
          <w:szCs w:val="21"/>
          <w:lang w:eastAsia="ru-RU"/>
        </w:rPr>
        <w:t>Weighted</w:t>
      </w:r>
      <w:proofErr w:type="spellEnd"/>
      <w:r w:rsidRPr="0037679E">
        <w:rPr>
          <w:rFonts w:ascii="Helvetica" w:eastAsia="Times New Roman" w:hAnsi="Helvetica" w:cs="Helvetica"/>
          <w:color w:val="1B252C"/>
          <w:sz w:val="21"/>
          <w:szCs w:val="21"/>
          <w:lang w:eastAsia="ru-RU"/>
        </w:rPr>
        <w:t xml:space="preserve"> </w:t>
      </w:r>
      <w:proofErr w:type="spellStart"/>
      <w:r w:rsidRPr="0037679E">
        <w:rPr>
          <w:rFonts w:ascii="Helvetica" w:eastAsia="Times New Roman" w:hAnsi="Helvetica" w:cs="Helvetica"/>
          <w:color w:val="1B252C"/>
          <w:sz w:val="21"/>
          <w:szCs w:val="21"/>
          <w:lang w:eastAsia="ru-RU"/>
        </w:rPr>
        <w:t>Average</w:t>
      </w:r>
      <w:proofErr w:type="spellEnd"/>
      <w:r w:rsidRPr="0037679E">
        <w:rPr>
          <w:rFonts w:ascii="Helvetica" w:eastAsia="Times New Roman" w:hAnsi="Helvetica" w:cs="Helvetica"/>
          <w:color w:val="1B252C"/>
          <w:sz w:val="21"/>
          <w:szCs w:val="21"/>
          <w:lang w:eastAsia="ru-RU"/>
        </w:rPr>
        <w:t xml:space="preserve"> </w:t>
      </w:r>
      <w:proofErr w:type="spellStart"/>
      <w:r w:rsidRPr="0037679E">
        <w:rPr>
          <w:rFonts w:ascii="Helvetica" w:eastAsia="Times New Roman" w:hAnsi="Helvetica" w:cs="Helvetica"/>
          <w:color w:val="1B252C"/>
          <w:sz w:val="21"/>
          <w:szCs w:val="21"/>
          <w:lang w:eastAsia="ru-RU"/>
        </w:rPr>
        <w:t>Cost</w:t>
      </w:r>
      <w:proofErr w:type="spellEnd"/>
      <w:r w:rsidRPr="0037679E">
        <w:rPr>
          <w:rFonts w:ascii="Helvetica" w:eastAsia="Times New Roman" w:hAnsi="Helvetica" w:cs="Helvetica"/>
          <w:color w:val="1B252C"/>
          <w:sz w:val="21"/>
          <w:szCs w:val="21"/>
          <w:lang w:eastAsia="ru-RU"/>
        </w:rPr>
        <w:t xml:space="preserve"> </w:t>
      </w:r>
      <w:proofErr w:type="spellStart"/>
      <w:r w:rsidRPr="0037679E">
        <w:rPr>
          <w:rFonts w:ascii="Helvetica" w:eastAsia="Times New Roman" w:hAnsi="Helvetica" w:cs="Helvetica"/>
          <w:color w:val="1B252C"/>
          <w:sz w:val="21"/>
          <w:szCs w:val="21"/>
          <w:lang w:eastAsia="ru-RU"/>
        </w:rPr>
        <w:t>of</w:t>
      </w:r>
      <w:proofErr w:type="spellEnd"/>
      <w:r w:rsidRPr="0037679E">
        <w:rPr>
          <w:rFonts w:ascii="Helvetica" w:eastAsia="Times New Roman" w:hAnsi="Helvetica" w:cs="Helvetica"/>
          <w:color w:val="1B252C"/>
          <w:sz w:val="21"/>
          <w:szCs w:val="21"/>
          <w:lang w:eastAsia="ru-RU"/>
        </w:rPr>
        <w:t xml:space="preserve"> </w:t>
      </w:r>
      <w:proofErr w:type="spellStart"/>
      <w:r w:rsidRPr="0037679E">
        <w:rPr>
          <w:rFonts w:ascii="Helvetica" w:eastAsia="Times New Roman" w:hAnsi="Helvetica" w:cs="Helvetica"/>
          <w:color w:val="1B252C"/>
          <w:sz w:val="21"/>
          <w:szCs w:val="21"/>
          <w:lang w:eastAsia="ru-RU"/>
        </w:rPr>
        <w:t>Capital</w:t>
      </w:r>
      <w:proofErr w:type="spellEnd"/>
      <w:r w:rsidRPr="0037679E">
        <w:rPr>
          <w:rFonts w:ascii="Helvetica" w:eastAsia="Times New Roman" w:hAnsi="Helvetica" w:cs="Helvetica"/>
          <w:color w:val="1B252C"/>
          <w:sz w:val="21"/>
          <w:szCs w:val="21"/>
          <w:lang w:eastAsia="ru-RU"/>
        </w:rPr>
        <w:t>, WACC). Этот показатель рассчитывается так:</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drawing>
          <wp:inline distT="0" distB="0" distL="0" distR="0" wp14:anchorId="084DBFF1" wp14:editId="29C93740">
            <wp:extent cx="1990725" cy="266700"/>
            <wp:effectExtent l="0" t="0" r="9525" b="0"/>
            <wp:docPr id="7" name="Рисунок 7" descr="https://www.alt-invest.ru/wp-content/uploads/svyaz-s-ocenkoj-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lt-invest.ru/wp-content/uploads/svyaz-s-ocenkoj-0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0725" cy="266700"/>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где:</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proofErr w:type="spellStart"/>
      <w:proofErr w:type="gramStart"/>
      <w:r w:rsidRPr="0037679E">
        <w:rPr>
          <w:rFonts w:ascii="Helvetica" w:eastAsia="Times New Roman" w:hAnsi="Helvetica" w:cs="Helvetica"/>
          <w:i/>
          <w:iCs/>
          <w:color w:val="1B252C"/>
          <w:sz w:val="21"/>
          <w:szCs w:val="21"/>
          <w:lang w:eastAsia="ru-RU"/>
        </w:rPr>
        <w:t>k</w:t>
      </w:r>
      <w:proofErr w:type="gramEnd"/>
      <w:r w:rsidRPr="0037679E">
        <w:rPr>
          <w:rFonts w:ascii="Helvetica" w:eastAsia="Times New Roman" w:hAnsi="Helvetica" w:cs="Helvetica"/>
          <w:i/>
          <w:iCs/>
          <w:color w:val="1B252C"/>
          <w:sz w:val="17"/>
          <w:szCs w:val="17"/>
          <w:vertAlign w:val="subscript"/>
          <w:lang w:eastAsia="ru-RU"/>
        </w:rPr>
        <w:t>кр</w:t>
      </w:r>
      <w:proofErr w:type="spellEnd"/>
      <w:r w:rsidRPr="0037679E">
        <w:rPr>
          <w:rFonts w:ascii="Helvetica" w:eastAsia="Times New Roman" w:hAnsi="Helvetica" w:cs="Helvetica"/>
          <w:color w:val="1B252C"/>
          <w:sz w:val="21"/>
          <w:szCs w:val="21"/>
          <w:lang w:eastAsia="ru-RU"/>
        </w:rPr>
        <w:t> — доля кредитных средств в источниках финансирования,</w:t>
      </w:r>
      <w:r w:rsidRPr="0037679E">
        <w:rPr>
          <w:rFonts w:ascii="Helvetica" w:eastAsia="Times New Roman" w:hAnsi="Helvetica" w:cs="Helvetica"/>
          <w:color w:val="1B252C"/>
          <w:sz w:val="21"/>
          <w:szCs w:val="21"/>
          <w:lang w:eastAsia="ru-RU"/>
        </w:rPr>
        <w:br/>
      </w:r>
      <w:proofErr w:type="spellStart"/>
      <w:r w:rsidRPr="0037679E">
        <w:rPr>
          <w:rFonts w:ascii="Helvetica" w:eastAsia="Times New Roman" w:hAnsi="Helvetica" w:cs="Helvetica"/>
          <w:i/>
          <w:iCs/>
          <w:color w:val="1B252C"/>
          <w:sz w:val="21"/>
          <w:szCs w:val="21"/>
          <w:lang w:eastAsia="ru-RU"/>
        </w:rPr>
        <w:t>k</w:t>
      </w:r>
      <w:r w:rsidRPr="0037679E">
        <w:rPr>
          <w:rFonts w:ascii="Helvetica" w:eastAsia="Times New Roman" w:hAnsi="Helvetica" w:cs="Helvetica"/>
          <w:i/>
          <w:iCs/>
          <w:color w:val="1B252C"/>
          <w:sz w:val="17"/>
          <w:szCs w:val="17"/>
          <w:vertAlign w:val="subscript"/>
          <w:lang w:eastAsia="ru-RU"/>
        </w:rPr>
        <w:t>ск</w:t>
      </w:r>
      <w:proofErr w:type="spellEnd"/>
      <w:r w:rsidRPr="0037679E">
        <w:rPr>
          <w:rFonts w:ascii="Helvetica" w:eastAsia="Times New Roman" w:hAnsi="Helvetica" w:cs="Helvetica"/>
          <w:color w:val="1B252C"/>
          <w:sz w:val="21"/>
          <w:szCs w:val="21"/>
          <w:lang w:eastAsia="ru-RU"/>
        </w:rPr>
        <w:t> — доля собственных средств акционера,</w:t>
      </w:r>
      <w:r w:rsidRPr="0037679E">
        <w:rPr>
          <w:rFonts w:ascii="Helvetica" w:eastAsia="Times New Roman" w:hAnsi="Helvetica" w:cs="Helvetica"/>
          <w:color w:val="1B252C"/>
          <w:sz w:val="21"/>
          <w:szCs w:val="21"/>
          <w:lang w:eastAsia="ru-RU"/>
        </w:rPr>
        <w:br/>
      </w:r>
      <w:proofErr w:type="spellStart"/>
      <w:r w:rsidRPr="0037679E">
        <w:rPr>
          <w:rFonts w:ascii="Helvetica" w:eastAsia="Times New Roman" w:hAnsi="Helvetica" w:cs="Helvetica"/>
          <w:i/>
          <w:iCs/>
          <w:color w:val="1B252C"/>
          <w:sz w:val="21"/>
          <w:szCs w:val="21"/>
          <w:lang w:eastAsia="ru-RU"/>
        </w:rPr>
        <w:t>r</w:t>
      </w:r>
      <w:r w:rsidRPr="0037679E">
        <w:rPr>
          <w:rFonts w:ascii="Helvetica" w:eastAsia="Times New Roman" w:hAnsi="Helvetica" w:cs="Helvetica"/>
          <w:i/>
          <w:iCs/>
          <w:color w:val="1B252C"/>
          <w:sz w:val="17"/>
          <w:szCs w:val="17"/>
          <w:vertAlign w:val="subscript"/>
          <w:lang w:eastAsia="ru-RU"/>
        </w:rPr>
        <w:t>кр</w:t>
      </w:r>
      <w:proofErr w:type="spellEnd"/>
      <w:r w:rsidRPr="0037679E">
        <w:rPr>
          <w:rFonts w:ascii="Helvetica" w:eastAsia="Times New Roman" w:hAnsi="Helvetica" w:cs="Helvetica"/>
          <w:color w:val="1B252C"/>
          <w:sz w:val="21"/>
          <w:szCs w:val="21"/>
          <w:lang w:eastAsia="ru-RU"/>
        </w:rPr>
        <w:t> — ставка процентов по кредиту,</w:t>
      </w:r>
      <w:r w:rsidRPr="0037679E">
        <w:rPr>
          <w:rFonts w:ascii="Helvetica" w:eastAsia="Times New Roman" w:hAnsi="Helvetica" w:cs="Helvetica"/>
          <w:color w:val="1B252C"/>
          <w:sz w:val="21"/>
          <w:szCs w:val="21"/>
          <w:lang w:eastAsia="ru-RU"/>
        </w:rPr>
        <w:br/>
      </w:r>
      <w:proofErr w:type="spellStart"/>
      <w:r w:rsidRPr="0037679E">
        <w:rPr>
          <w:rFonts w:ascii="Helvetica" w:eastAsia="Times New Roman" w:hAnsi="Helvetica" w:cs="Helvetica"/>
          <w:i/>
          <w:iCs/>
          <w:color w:val="1B252C"/>
          <w:sz w:val="21"/>
          <w:szCs w:val="21"/>
          <w:lang w:eastAsia="ru-RU"/>
        </w:rPr>
        <w:t>r</w:t>
      </w:r>
      <w:r w:rsidRPr="0037679E">
        <w:rPr>
          <w:rFonts w:ascii="Helvetica" w:eastAsia="Times New Roman" w:hAnsi="Helvetica" w:cs="Helvetica"/>
          <w:i/>
          <w:iCs/>
          <w:color w:val="1B252C"/>
          <w:sz w:val="17"/>
          <w:szCs w:val="17"/>
          <w:vertAlign w:val="subscript"/>
          <w:lang w:eastAsia="ru-RU"/>
        </w:rPr>
        <w:t>кр</w:t>
      </w:r>
      <w:proofErr w:type="spellEnd"/>
      <w:r w:rsidRPr="0037679E">
        <w:rPr>
          <w:rFonts w:ascii="Helvetica" w:eastAsia="Times New Roman" w:hAnsi="Helvetica" w:cs="Helvetica"/>
          <w:color w:val="1B252C"/>
          <w:sz w:val="21"/>
          <w:szCs w:val="21"/>
          <w:lang w:eastAsia="ru-RU"/>
        </w:rPr>
        <w:t> — доход на собственный капитал, требуемый акционером.</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Получается, что каждая компонента капитала закладывает в стоимость денег проекта долю, пропорциональную доле самого источника капитала.</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Фактически, через этот механизм расчета ставки дисконтирования учитывается требование каждого из инвесторов проекта к своим доходам на вложенные средства. Любопытно, что понятие WACC пришло в оценку инвестиционных проектов с фондового рынка, где оно активно применяется при анализе стоимости акций компаний.</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lastRenderedPageBreak/>
        <w:t xml:space="preserve">Здесь мы впервые встречаемся с применением элементов, которые чаще встречаются в оценке бизнеса, для расчета эффективности инвестиционных проектов. Дальше мы </w:t>
      </w:r>
      <w:proofErr w:type="gramStart"/>
      <w:r w:rsidRPr="0037679E">
        <w:rPr>
          <w:rFonts w:ascii="Helvetica" w:eastAsia="Times New Roman" w:hAnsi="Helvetica" w:cs="Helvetica"/>
          <w:color w:val="1B252C"/>
          <w:sz w:val="21"/>
          <w:szCs w:val="21"/>
          <w:lang w:eastAsia="ru-RU"/>
        </w:rPr>
        <w:t>увидим насколько тесно переплетены</w:t>
      </w:r>
      <w:proofErr w:type="gramEnd"/>
      <w:r w:rsidRPr="0037679E">
        <w:rPr>
          <w:rFonts w:ascii="Helvetica" w:eastAsia="Times New Roman" w:hAnsi="Helvetica" w:cs="Helvetica"/>
          <w:color w:val="1B252C"/>
          <w:sz w:val="21"/>
          <w:szCs w:val="21"/>
          <w:lang w:eastAsia="ru-RU"/>
        </w:rPr>
        <w:t xml:space="preserve"> эти темы.</w:t>
      </w:r>
    </w:p>
    <w:p w:rsidR="0037679E" w:rsidRPr="0037679E" w:rsidRDefault="0037679E" w:rsidP="0037679E">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37679E">
        <w:rPr>
          <w:rFonts w:ascii="Helvetica" w:eastAsia="Times New Roman" w:hAnsi="Helvetica" w:cs="Helvetica"/>
          <w:b/>
          <w:bCs/>
          <w:color w:val="363636"/>
          <w:sz w:val="20"/>
          <w:szCs w:val="20"/>
          <w:lang w:eastAsia="ru-RU"/>
        </w:rPr>
        <w:t>Главное — NPV. Но этого недостаточно</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Главным критерием эффективности инвестиционного проекта всегда считалась величина NPV. Это объясняется и тем, что его просто интерпретировать, и тем, что расчет NPV вызывает меньше всего сложностей по сравнению с другими традиционными показателями проекта. Но на практике часто оказывается, что рассчитать NPV не всегда будет легким делом, а правильно сделать выводы, получив его значение, еще сложней. Назовем основную причину затруднений. Для этого рассмотрим в качестве примера небольшой проект.</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i/>
          <w:iCs/>
          <w:color w:val="1B252C"/>
          <w:sz w:val="21"/>
          <w:szCs w:val="21"/>
          <w:lang w:eastAsia="ru-RU"/>
        </w:rPr>
        <w:t>Небольшое предприятие планирует закупить оборудование для производства автомобильных деталей. В течение 6 месяцев длится инвестиционная фаза проекта, после чего за 1,5 года компания планирует выйти на плановые объемы производства и начать регулярную деятельность.</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i/>
          <w:iCs/>
          <w:color w:val="1B252C"/>
          <w:sz w:val="21"/>
          <w:szCs w:val="21"/>
          <w:lang w:eastAsia="ru-RU"/>
        </w:rPr>
        <w:t>В ходе анализа проекта не только решается вопрос о его привлекательности, но и оцениваются перспективы с точки зрения потенциального партнера, готового профинансировать часть затрат в обмен на долю в бизнесе.</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В этом проекте надо обратить внимание на две характерных детали. Во-первых, покупаемое оборудование может работать достаточно долго, 7-15 лет. Но всерьез строить прогнозы доходов и затрат небольшого предприятия до 2022 года очевидно нельзя. </w:t>
      </w:r>
      <w:proofErr w:type="gramStart"/>
      <w:r w:rsidRPr="0037679E">
        <w:rPr>
          <w:rFonts w:ascii="Helvetica" w:eastAsia="Times New Roman" w:hAnsi="Helvetica" w:cs="Helvetica"/>
          <w:color w:val="1B252C"/>
          <w:sz w:val="21"/>
          <w:szCs w:val="21"/>
          <w:lang w:eastAsia="ru-RU"/>
        </w:rPr>
        <w:t>Значит взятые нами сроки для прогнозирования доходов окажутся</w:t>
      </w:r>
      <w:proofErr w:type="gramEnd"/>
      <w:r w:rsidRPr="0037679E">
        <w:rPr>
          <w:rFonts w:ascii="Helvetica" w:eastAsia="Times New Roman" w:hAnsi="Helvetica" w:cs="Helvetica"/>
          <w:color w:val="1B252C"/>
          <w:sz w:val="21"/>
          <w:szCs w:val="21"/>
          <w:lang w:eastAsia="ru-RU"/>
        </w:rPr>
        <w:t xml:space="preserve"> меньше, чем реальный срок полезного использования результатов проекта. Во-вторых, среди инвесторов есть потенциальный новый акционер. </w:t>
      </w:r>
      <w:proofErr w:type="gramStart"/>
      <w:r w:rsidRPr="0037679E">
        <w:rPr>
          <w:rFonts w:ascii="Helvetica" w:eastAsia="Times New Roman" w:hAnsi="Helvetica" w:cs="Helvetica"/>
          <w:color w:val="1B252C"/>
          <w:sz w:val="21"/>
          <w:szCs w:val="21"/>
          <w:lang w:eastAsia="ru-RU"/>
        </w:rPr>
        <w:t>Значит</w:t>
      </w:r>
      <w:proofErr w:type="gramEnd"/>
      <w:r w:rsidRPr="0037679E">
        <w:rPr>
          <w:rFonts w:ascii="Helvetica" w:eastAsia="Times New Roman" w:hAnsi="Helvetica" w:cs="Helvetica"/>
          <w:color w:val="1B252C"/>
          <w:sz w:val="21"/>
          <w:szCs w:val="21"/>
          <w:lang w:eastAsia="ru-RU"/>
        </w:rPr>
        <w:t xml:space="preserve"> по результатам анализа будут приниматься решения о доле бизнеса и выгоде каждого участника. Было бы гораздо проще, если бы бизнес уже существовал и был оценен, тогда можно сопоставить сумму, выплачиваемую акционером и долю в компании с известной стоимостью, которую получает новый участник, т.е. рассматривать инвестиции как покупку «товара» с известной рыночной стоимостью. Если заплатить надо не больше реальной цены, то сделка выгодна, в противном случае от нее лучше отказаться. Но мы пока оперируем другими показателями.</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Итак, практически в любом реальном проекте мы сталкиваемся с двумя недостатками NPV:</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1. Строить детальные прогнозы на весь период, в течение которого работают сделанные инвестиции, не всегда оправдано. В результате, в каждом проекте остается значительный фрагмент неучтенных доходов. Особенно хорошо это видно в тех ситуациях, когда теоретически созданный бизнес или направление может работать бесконечно.</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2. NPV не дает окончательного вывода о том, насколько выгодно акционерам участвовать в проекте и какие доли в бизнесе являются для них минимальными.</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В большой степени эти проблемы решаются, если перейти от традиционных показателей эффективности к одному из методов, используемых при оценке стоимости компаний.</w:t>
      </w:r>
    </w:p>
    <w:p w:rsidR="0037679E" w:rsidRPr="0037679E" w:rsidRDefault="0037679E" w:rsidP="0037679E">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37679E">
        <w:rPr>
          <w:rFonts w:ascii="Helvetica" w:eastAsia="Times New Roman" w:hAnsi="Helvetica" w:cs="Helvetica"/>
          <w:b/>
          <w:bCs/>
          <w:color w:val="363636"/>
          <w:sz w:val="20"/>
          <w:szCs w:val="20"/>
          <w:lang w:eastAsia="ru-RU"/>
        </w:rPr>
        <w:t>Модель Гордона</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Как известно, стоимость компании можно определять либо изучая ее активы, либо сравнивая ее с другими похожими компаниями, либо прямо анализируя ее доходы. И последний подход будет интересен нам как альтернатива NPV проекта. Для того</w:t>
      </w:r>
      <w:proofErr w:type="gramStart"/>
      <w:r w:rsidRPr="0037679E">
        <w:rPr>
          <w:rFonts w:ascii="Helvetica" w:eastAsia="Times New Roman" w:hAnsi="Helvetica" w:cs="Helvetica"/>
          <w:color w:val="1B252C"/>
          <w:sz w:val="21"/>
          <w:szCs w:val="21"/>
          <w:lang w:eastAsia="ru-RU"/>
        </w:rPr>
        <w:t>,</w:t>
      </w:r>
      <w:proofErr w:type="gramEnd"/>
      <w:r w:rsidRPr="0037679E">
        <w:rPr>
          <w:rFonts w:ascii="Helvetica" w:eastAsia="Times New Roman" w:hAnsi="Helvetica" w:cs="Helvetica"/>
          <w:color w:val="1B252C"/>
          <w:sz w:val="21"/>
          <w:szCs w:val="21"/>
          <w:lang w:eastAsia="ru-RU"/>
        </w:rPr>
        <w:t xml:space="preserve"> чтобы понять механизмы оценки компании на основе доходов надо представить себе, что запущенный нами инвестиционный проект длится вечно, не имеет ограничений по срокам. Хотя </w:t>
      </w:r>
      <w:proofErr w:type="gramStart"/>
      <w:r w:rsidRPr="0037679E">
        <w:rPr>
          <w:rFonts w:ascii="Helvetica" w:eastAsia="Times New Roman" w:hAnsi="Helvetica" w:cs="Helvetica"/>
          <w:color w:val="1B252C"/>
          <w:sz w:val="21"/>
          <w:szCs w:val="21"/>
          <w:lang w:eastAsia="ru-RU"/>
        </w:rPr>
        <w:t>и</w:t>
      </w:r>
      <w:proofErr w:type="gramEnd"/>
      <w:r w:rsidRPr="0037679E">
        <w:rPr>
          <w:rFonts w:ascii="Helvetica" w:eastAsia="Times New Roman" w:hAnsi="Helvetica" w:cs="Helvetica"/>
          <w:color w:val="1B252C"/>
          <w:sz w:val="21"/>
          <w:szCs w:val="21"/>
          <w:lang w:eastAsia="ru-RU"/>
        </w:rPr>
        <w:t xml:space="preserve"> кажется, что ценность бесконечного дохода тоже может оказаться бесконечной, в действительности это не так. Формула NPV при бесконечном горизонте прогноза принимает следующий вид:</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lastRenderedPageBreak/>
        <w:drawing>
          <wp:inline distT="0" distB="0" distL="0" distR="0" wp14:anchorId="71B42180" wp14:editId="26761C45">
            <wp:extent cx="1895475" cy="523875"/>
            <wp:effectExtent l="0" t="0" r="9525" b="9525"/>
            <wp:docPr id="8" name="Рисунок 8" descr="https://www.alt-invest.ru/wp-content/uploads/svyaz-s-ocenkoj-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lt-invest.ru/wp-content/uploads/svyaz-s-ocenkoj-0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475" cy="523875"/>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Расчет оказался не только возможен, но и значительно упростился! Однако мы здесь внесли одно упрощение, предположили, что NCF проекта будет неизменным год от года. Но в действительности он будет постоянно меняться, как минимум, за счет инфляции, а иногда и быстрее, за счет постепенного расширения масштабов деятельности. Поэтому такое упрощение будет чрезмерным и потребуется добавить учет ежегодного роста доходов. А наша формула примет вид:</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drawing>
          <wp:inline distT="0" distB="0" distL="0" distR="0" wp14:anchorId="24DA963D" wp14:editId="70C26AD7">
            <wp:extent cx="1000125" cy="485775"/>
            <wp:effectExtent l="0" t="0" r="9525" b="9525"/>
            <wp:docPr id="9" name="Рисунок 9" descr="https://www.alt-invest.ru/wp-content/uploads/svyaz-s-ocenkoj-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lt-invest.ru/wp-content/uploads/svyaz-s-ocenkoj-07.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0125" cy="485775"/>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где g — годовой темп роста доходов компании.</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И, наконец, последняя поправка. Как можно легко убедиться, чистый денежный поток проекта NCF равен </w:t>
      </w:r>
      <w:proofErr w:type="spellStart"/>
      <w:r w:rsidRPr="0037679E">
        <w:rPr>
          <w:rFonts w:ascii="Helvetica" w:eastAsia="Times New Roman" w:hAnsi="Helvetica" w:cs="Helvetica"/>
          <w:color w:val="1B252C"/>
          <w:sz w:val="21"/>
          <w:szCs w:val="21"/>
          <w:lang w:eastAsia="ru-RU"/>
        </w:rPr>
        <w:t>посленалоговой</w:t>
      </w:r>
      <w:proofErr w:type="spellEnd"/>
      <w:r w:rsidRPr="0037679E">
        <w:rPr>
          <w:rFonts w:ascii="Helvetica" w:eastAsia="Times New Roman" w:hAnsi="Helvetica" w:cs="Helvetica"/>
          <w:color w:val="1B252C"/>
          <w:sz w:val="21"/>
          <w:szCs w:val="21"/>
          <w:lang w:eastAsia="ru-RU"/>
        </w:rPr>
        <w:t xml:space="preserve"> операционной прибыли плюс амортизация. Амортизация не считается затратами в инвестиционных проектах, так как она не связана напрямую с денежными затратами, а отражает начисление износа имущества. В коротких инвестиционных проектах это было верно, но если прогнозировать развитие деятельности компании на бесконечный срок, то было бы правильно, пусть и не с первого года, учитывать регулярные вложения денег в постепенную замену и поддержание оборудования. А это значит, что сумму, близкую к величине амортизации надо бы учесть как затраты проекта.</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Если мы сделаем это, то интерпретация формулы изменится. Значение в числителе можно будет назвать другим термином — </w:t>
      </w:r>
      <w:proofErr w:type="spellStart"/>
      <w:r w:rsidRPr="0037679E">
        <w:rPr>
          <w:rFonts w:ascii="Helvetica" w:eastAsia="Times New Roman" w:hAnsi="Helvetica" w:cs="Helvetica"/>
          <w:color w:val="1B252C"/>
          <w:sz w:val="21"/>
          <w:szCs w:val="21"/>
          <w:lang w:eastAsia="ru-RU"/>
        </w:rPr>
        <w:t>посленалоговая</w:t>
      </w:r>
      <w:proofErr w:type="spellEnd"/>
      <w:r w:rsidRPr="0037679E">
        <w:rPr>
          <w:rFonts w:ascii="Helvetica" w:eastAsia="Times New Roman" w:hAnsi="Helvetica" w:cs="Helvetica"/>
          <w:color w:val="1B252C"/>
          <w:sz w:val="21"/>
          <w:szCs w:val="21"/>
          <w:lang w:eastAsia="ru-RU"/>
        </w:rPr>
        <w:t xml:space="preserve"> операционная прибыль, NOPLAT. А получившаяся формула,</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drawing>
          <wp:inline distT="0" distB="0" distL="0" distR="0" wp14:anchorId="0A91A187" wp14:editId="0FEE6886">
            <wp:extent cx="1304925" cy="485775"/>
            <wp:effectExtent l="0" t="0" r="9525" b="9525"/>
            <wp:docPr id="10" name="Рисунок 10" descr="https://www.alt-invest.ru/wp-content/uploads/svyaz-s-ocenkoj-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alt-invest.ru/wp-content/uploads/svyaz-s-ocenkoj-0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станет </w:t>
      </w:r>
      <w:proofErr w:type="gramStart"/>
      <w:r w:rsidRPr="0037679E">
        <w:rPr>
          <w:rFonts w:ascii="Helvetica" w:eastAsia="Times New Roman" w:hAnsi="Helvetica" w:cs="Helvetica"/>
          <w:color w:val="1B252C"/>
          <w:sz w:val="21"/>
          <w:szCs w:val="21"/>
          <w:lang w:eastAsia="ru-RU"/>
        </w:rPr>
        <w:t>ни чем иным, как</w:t>
      </w:r>
      <w:proofErr w:type="gramEnd"/>
      <w:r w:rsidRPr="0037679E">
        <w:rPr>
          <w:rFonts w:ascii="Helvetica" w:eastAsia="Times New Roman" w:hAnsi="Helvetica" w:cs="Helvetica"/>
          <w:color w:val="1B252C"/>
          <w:sz w:val="21"/>
          <w:szCs w:val="21"/>
          <w:lang w:eastAsia="ru-RU"/>
        </w:rPr>
        <w:t xml:space="preserve"> формулой Гордона, одной из наиболее известных формул, по которым оценивается стоимость компаний и коммерческой недвижимости.</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Итак, оказалось, что распространенные методики оценки бизнеса тесно связаны с понятием NPV.</w:t>
      </w:r>
    </w:p>
    <w:p w:rsidR="0037679E" w:rsidRPr="0037679E" w:rsidRDefault="0037679E" w:rsidP="0037679E">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37679E">
        <w:rPr>
          <w:rFonts w:ascii="Helvetica" w:eastAsia="Times New Roman" w:hAnsi="Helvetica" w:cs="Helvetica"/>
          <w:b/>
          <w:bCs/>
          <w:color w:val="363636"/>
          <w:sz w:val="20"/>
          <w:szCs w:val="20"/>
          <w:lang w:eastAsia="ru-RU"/>
        </w:rPr>
        <w:t>Продленная стоимость</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Теперь остается сделать последний шаг. NPV неудобен, потому что этот показатель требует полного прогноза денежных потоков, в том числе и там, где мы такого прогноза сделать не можем. Но и модель Гордона, хорошо отражающая стоимость будущих доходов, не идеальна. Она работает при одном важном условии — денежные потоки проекта стабильны или равномерно растут. Это верно для стадии зрелого </w:t>
      </w:r>
      <w:proofErr w:type="gramStart"/>
      <w:r w:rsidRPr="0037679E">
        <w:rPr>
          <w:rFonts w:ascii="Helvetica" w:eastAsia="Times New Roman" w:hAnsi="Helvetica" w:cs="Helvetica"/>
          <w:color w:val="1B252C"/>
          <w:sz w:val="21"/>
          <w:szCs w:val="21"/>
          <w:lang w:eastAsia="ru-RU"/>
        </w:rPr>
        <w:t>развития</w:t>
      </w:r>
      <w:proofErr w:type="gramEnd"/>
      <w:r w:rsidRPr="0037679E">
        <w:rPr>
          <w:rFonts w:ascii="Helvetica" w:eastAsia="Times New Roman" w:hAnsi="Helvetica" w:cs="Helvetica"/>
          <w:color w:val="1B252C"/>
          <w:sz w:val="21"/>
          <w:szCs w:val="21"/>
          <w:lang w:eastAsia="ru-RU"/>
        </w:rPr>
        <w:t xml:space="preserve"> но совершенно не соответствует тому, что происходит на начальной фазе.</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Вернемся к упомянутому ранее примеру. Первые два года проект развивается очень динамично. Меняются обороты и чистые доходы. Но с третьего или четвертого года ситуация меняется. Денежные потоки стабилизируются, т.к. компания вышла на полную загрузку мощностей. Но прогнозировать их детали становится все сложнее и хотелось бы оперировать примерными оценками. И здесь нам на помощь приходит понятие </w:t>
      </w:r>
      <w:r w:rsidRPr="0037679E">
        <w:rPr>
          <w:rFonts w:ascii="Helvetica" w:eastAsia="Times New Roman" w:hAnsi="Helvetica" w:cs="Helvetica"/>
          <w:i/>
          <w:iCs/>
          <w:color w:val="1B252C"/>
          <w:sz w:val="21"/>
          <w:szCs w:val="21"/>
          <w:lang w:eastAsia="ru-RU"/>
        </w:rPr>
        <w:t>продленной стоимости</w:t>
      </w:r>
      <w:r w:rsidRPr="0037679E">
        <w:rPr>
          <w:rFonts w:ascii="Helvetica" w:eastAsia="Times New Roman" w:hAnsi="Helvetica" w:cs="Helvetica"/>
          <w:color w:val="1B252C"/>
          <w:sz w:val="21"/>
          <w:szCs w:val="21"/>
          <w:lang w:eastAsia="ru-RU"/>
        </w:rPr>
        <w:t>. Вот как оно будет использовано в нашем примере:</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lastRenderedPageBreak/>
        <w:t>1. На первые 3 года проекта (инвестиционный период + выход на полную загрузку + 1 год стабильной деятельности) будет построен детальный прогноз денежных потоков проекта. На основании этого прогноза рассчитывается NPV.</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2. </w:t>
      </w:r>
      <w:proofErr w:type="gramStart"/>
      <w:r w:rsidRPr="0037679E">
        <w:rPr>
          <w:rFonts w:ascii="Helvetica" w:eastAsia="Times New Roman" w:hAnsi="Helvetica" w:cs="Helvetica"/>
          <w:color w:val="1B252C"/>
          <w:sz w:val="21"/>
          <w:szCs w:val="21"/>
          <w:lang w:eastAsia="ru-RU"/>
        </w:rPr>
        <w:t>По</w:t>
      </w:r>
      <w:proofErr w:type="gramEnd"/>
      <w:r w:rsidRPr="0037679E">
        <w:rPr>
          <w:rFonts w:ascii="Helvetica" w:eastAsia="Times New Roman" w:hAnsi="Helvetica" w:cs="Helvetica"/>
          <w:color w:val="1B252C"/>
          <w:sz w:val="21"/>
          <w:szCs w:val="21"/>
          <w:lang w:eastAsia="ru-RU"/>
        </w:rPr>
        <w:t xml:space="preserve"> </w:t>
      </w:r>
      <w:proofErr w:type="gramStart"/>
      <w:r w:rsidRPr="0037679E">
        <w:rPr>
          <w:rFonts w:ascii="Helvetica" w:eastAsia="Times New Roman" w:hAnsi="Helvetica" w:cs="Helvetica"/>
          <w:color w:val="1B252C"/>
          <w:sz w:val="21"/>
          <w:szCs w:val="21"/>
          <w:lang w:eastAsia="ru-RU"/>
        </w:rPr>
        <w:t>последнего</w:t>
      </w:r>
      <w:proofErr w:type="gramEnd"/>
      <w:r w:rsidRPr="0037679E">
        <w:rPr>
          <w:rFonts w:ascii="Helvetica" w:eastAsia="Times New Roman" w:hAnsi="Helvetica" w:cs="Helvetica"/>
          <w:color w:val="1B252C"/>
          <w:sz w:val="21"/>
          <w:szCs w:val="21"/>
          <w:lang w:eastAsia="ru-RU"/>
        </w:rPr>
        <w:t xml:space="preserve"> году проекта определяется величина NOPLAT. Фактически, это его чистая прибыль без вычета процентов по кредиту (проценты по кредиту, как и другие затраты на оплату капитала, мы учли в ставке дисконтирования). На основе NOPLAT и стоимости капитала, определенной инвесторами, рассчитывается стоимость бизнеса по модели Гордона. В нашем случае она будет называться продленной стоимостью, т.е. стоимостью, создаваемой за пределами прогнозного периода.</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3. Полная стоимость проекта рассчитывается по формуле:</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drawing>
          <wp:inline distT="0" distB="0" distL="0" distR="0" wp14:anchorId="7F6EBB23" wp14:editId="560E37E2">
            <wp:extent cx="2371725" cy="533400"/>
            <wp:effectExtent l="0" t="0" r="9525" b="0"/>
            <wp:docPr id="11" name="Рисунок 11" descr="https://www.alt-invest.ru/wp-content/uploads/svyaz-s-ocenkoj-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lt-invest.ru/wp-content/uploads/svyaz-s-ocenkoj-09.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1725" cy="533400"/>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 xml:space="preserve">то есть продленную стоимость проекта мы </w:t>
      </w:r>
      <w:proofErr w:type="spellStart"/>
      <w:r w:rsidRPr="0037679E">
        <w:rPr>
          <w:rFonts w:ascii="Helvetica" w:eastAsia="Times New Roman" w:hAnsi="Helvetica" w:cs="Helvetica"/>
          <w:color w:val="1B252C"/>
          <w:sz w:val="21"/>
          <w:szCs w:val="21"/>
          <w:lang w:eastAsia="ru-RU"/>
        </w:rPr>
        <w:t>продисконтировали</w:t>
      </w:r>
      <w:proofErr w:type="spellEnd"/>
      <w:r w:rsidRPr="0037679E">
        <w:rPr>
          <w:rFonts w:ascii="Helvetica" w:eastAsia="Times New Roman" w:hAnsi="Helvetica" w:cs="Helvetica"/>
          <w:color w:val="1B252C"/>
          <w:sz w:val="21"/>
          <w:szCs w:val="21"/>
          <w:lang w:eastAsia="ru-RU"/>
        </w:rPr>
        <w:t xml:space="preserve"> за три года прогнозного периода и прибавили к NPV. Тем самым, мы предположили, что на последний день расчетного периода мы продали созданный бизнес по рыночной цене, рассчитанной </w:t>
      </w:r>
      <w:proofErr w:type="gramStart"/>
      <w:r w:rsidRPr="0037679E">
        <w:rPr>
          <w:rFonts w:ascii="Helvetica" w:eastAsia="Times New Roman" w:hAnsi="Helvetica" w:cs="Helvetica"/>
          <w:color w:val="1B252C"/>
          <w:sz w:val="21"/>
          <w:szCs w:val="21"/>
          <w:lang w:eastAsia="ru-RU"/>
        </w:rPr>
        <w:t>исходя из его способности приносить</w:t>
      </w:r>
      <w:proofErr w:type="gramEnd"/>
      <w:r w:rsidRPr="0037679E">
        <w:rPr>
          <w:rFonts w:ascii="Helvetica" w:eastAsia="Times New Roman" w:hAnsi="Helvetica" w:cs="Helvetica"/>
          <w:color w:val="1B252C"/>
          <w:sz w:val="21"/>
          <w:szCs w:val="21"/>
          <w:lang w:eastAsia="ru-RU"/>
        </w:rPr>
        <w:t xml:space="preserve"> доходы владельцу и требования инвесторов к годовой доходности (она учтена у нас в ставке d)</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Теперь наш анализ приобрел должный баланс между детальностью и способностью заглядывать в будущее, а вместо показателя NPV мы получили оценку каждого проекта как бизнеса с определенной рыночной стоимостью. Принимать решения о долях участников и максимальной сумме вложений стало проще, а в проекте не осталось таких выгод и доходов, которые остались бы за рамками оценки.</w:t>
      </w:r>
    </w:p>
    <w:p w:rsidR="0037679E" w:rsidRPr="0037679E" w:rsidRDefault="0037679E" w:rsidP="0037679E">
      <w:pPr>
        <w:spacing w:before="100" w:beforeAutospacing="1" w:after="100" w:afterAutospacing="1" w:line="240" w:lineRule="auto"/>
        <w:outlineLvl w:val="4"/>
        <w:rPr>
          <w:rFonts w:ascii="Helvetica" w:eastAsia="Times New Roman" w:hAnsi="Helvetica" w:cs="Helvetica"/>
          <w:color w:val="363636"/>
          <w:sz w:val="20"/>
          <w:szCs w:val="20"/>
          <w:lang w:eastAsia="ru-RU"/>
        </w:rPr>
      </w:pPr>
      <w:r w:rsidRPr="0037679E">
        <w:rPr>
          <w:rFonts w:ascii="Helvetica" w:eastAsia="Times New Roman" w:hAnsi="Helvetica" w:cs="Helvetica"/>
          <w:b/>
          <w:bCs/>
          <w:color w:val="363636"/>
          <w:sz w:val="20"/>
          <w:szCs w:val="20"/>
          <w:lang w:eastAsia="ru-RU"/>
        </w:rPr>
        <w:t>Оценка проекта — всегда оценка части бизнеса</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t>Приведенный пример использования понятия продленной стоимости при оценке проектов — только частный случай оценки проекта как бизнеса. Вообще же, любой инвестиционный проект может рассматриваться как с позиций «внутреннего» анализа ожидаемых доходов, так и более обобщенно, на базе методологии оценки бизнеса. Более того, нормальный план оценки коммерческой эффективности проекта можно представить так:</w:t>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noProof/>
          <w:color w:val="1B252C"/>
          <w:sz w:val="21"/>
          <w:szCs w:val="21"/>
          <w:lang w:eastAsia="ru-RU"/>
        </w:rPr>
        <w:drawing>
          <wp:inline distT="0" distB="0" distL="0" distR="0" wp14:anchorId="2CD5C109" wp14:editId="1F5B49F7">
            <wp:extent cx="5876925" cy="3228975"/>
            <wp:effectExtent l="0" t="0" r="9525" b="9525"/>
            <wp:docPr id="12" name="Рисунок 12" descr="https://www.alt-invest.ru/wp-content/uploads/svyaz-s-ocenkoj-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alt-invest.ru/wp-content/uploads/svyaz-s-ocenkoj-1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6925" cy="3228975"/>
                    </a:xfrm>
                    <a:prstGeom prst="rect">
                      <a:avLst/>
                    </a:prstGeom>
                    <a:noFill/>
                    <a:ln>
                      <a:noFill/>
                    </a:ln>
                  </pic:spPr>
                </pic:pic>
              </a:graphicData>
            </a:graphic>
          </wp:inline>
        </w:drawing>
      </w:r>
    </w:p>
    <w:p w:rsidR="0037679E" w:rsidRPr="0037679E" w:rsidRDefault="0037679E" w:rsidP="0037679E">
      <w:pPr>
        <w:spacing w:before="100" w:beforeAutospacing="1" w:after="100" w:afterAutospacing="1" w:line="240" w:lineRule="auto"/>
        <w:rPr>
          <w:rFonts w:ascii="Helvetica" w:eastAsia="Times New Roman" w:hAnsi="Helvetica" w:cs="Helvetica"/>
          <w:color w:val="1B252C"/>
          <w:sz w:val="21"/>
          <w:szCs w:val="21"/>
          <w:lang w:eastAsia="ru-RU"/>
        </w:rPr>
      </w:pPr>
      <w:r w:rsidRPr="0037679E">
        <w:rPr>
          <w:rFonts w:ascii="Helvetica" w:eastAsia="Times New Roman" w:hAnsi="Helvetica" w:cs="Helvetica"/>
          <w:color w:val="1B252C"/>
          <w:sz w:val="21"/>
          <w:szCs w:val="21"/>
          <w:lang w:eastAsia="ru-RU"/>
        </w:rPr>
        <w:lastRenderedPageBreak/>
        <w:t>При анализе любого инвестиционного проекта желательно использовать для проверки сделанных прогнозов информацию об аналогичных проектах и компаниях. Если цель анализа — привлечение банковского кредита, то на этом работа эксперта и заканчивается. Но если проект должен быть представлен потенциальным или текущим акционерам, то обязательное продолжение традиционных расчетов это оценка создаваемого бизнеса как с помощью спрогнозированных денежных потоков (на основе продленной стоимости), так и на основе рыночных аналогов. И чем ближе будут друг к другу перечни аналогов, применяемых на этапе прогнозирования доходов и на этапе оценки бизнеса, тем выше будет качестве расчетов.</w:t>
      </w:r>
    </w:p>
    <w:p w:rsidR="0037679E" w:rsidRDefault="0037679E"/>
    <w:sectPr w:rsidR="00376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0A7B"/>
    <w:multiLevelType w:val="multilevel"/>
    <w:tmpl w:val="971EE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583C56"/>
    <w:multiLevelType w:val="multilevel"/>
    <w:tmpl w:val="FEF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B828AC"/>
    <w:multiLevelType w:val="multilevel"/>
    <w:tmpl w:val="103C3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CD162E"/>
    <w:multiLevelType w:val="multilevel"/>
    <w:tmpl w:val="36E4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C7"/>
    <w:rsid w:val="000C4A83"/>
    <w:rsid w:val="0037679E"/>
    <w:rsid w:val="007D39C7"/>
    <w:rsid w:val="00954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39C7"/>
    <w:rPr>
      <w:color w:val="0000FF" w:themeColor="hyperlink"/>
      <w:u w:val="single"/>
    </w:rPr>
  </w:style>
  <w:style w:type="paragraph" w:styleId="a4">
    <w:name w:val="Balloon Text"/>
    <w:basedOn w:val="a"/>
    <w:link w:val="a5"/>
    <w:uiPriority w:val="99"/>
    <w:semiHidden/>
    <w:unhideWhenUsed/>
    <w:rsid w:val="007D39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3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39C7"/>
    <w:rPr>
      <w:color w:val="0000FF" w:themeColor="hyperlink"/>
      <w:u w:val="single"/>
    </w:rPr>
  </w:style>
  <w:style w:type="paragraph" w:styleId="a4">
    <w:name w:val="Balloon Text"/>
    <w:basedOn w:val="a"/>
    <w:link w:val="a5"/>
    <w:uiPriority w:val="99"/>
    <w:semiHidden/>
    <w:unhideWhenUsed/>
    <w:rsid w:val="007D39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3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3388">
      <w:bodyDiv w:val="1"/>
      <w:marLeft w:val="0"/>
      <w:marRight w:val="0"/>
      <w:marTop w:val="0"/>
      <w:marBottom w:val="0"/>
      <w:divBdr>
        <w:top w:val="none" w:sz="0" w:space="0" w:color="auto"/>
        <w:left w:val="none" w:sz="0" w:space="0" w:color="auto"/>
        <w:bottom w:val="none" w:sz="0" w:space="0" w:color="auto"/>
        <w:right w:val="none" w:sz="0" w:space="0" w:color="auto"/>
      </w:divBdr>
      <w:divsChild>
        <w:div w:id="490409088">
          <w:marLeft w:val="0"/>
          <w:marRight w:val="0"/>
          <w:marTop w:val="0"/>
          <w:marBottom w:val="0"/>
          <w:divBdr>
            <w:top w:val="none" w:sz="0" w:space="0" w:color="auto"/>
            <w:left w:val="none" w:sz="0" w:space="0" w:color="auto"/>
            <w:bottom w:val="none" w:sz="0" w:space="0" w:color="auto"/>
            <w:right w:val="none" w:sz="0" w:space="0" w:color="auto"/>
          </w:divBdr>
          <w:divsChild>
            <w:div w:id="295717113">
              <w:marLeft w:val="0"/>
              <w:marRight w:val="0"/>
              <w:marTop w:val="0"/>
              <w:marBottom w:val="0"/>
              <w:divBdr>
                <w:top w:val="none" w:sz="0" w:space="0" w:color="auto"/>
                <w:left w:val="none" w:sz="0" w:space="0" w:color="auto"/>
                <w:bottom w:val="none" w:sz="0" w:space="0" w:color="auto"/>
                <w:right w:val="none" w:sz="0" w:space="0" w:color="auto"/>
              </w:divBdr>
              <w:divsChild>
                <w:div w:id="8769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86787">
          <w:marLeft w:val="0"/>
          <w:marRight w:val="0"/>
          <w:marTop w:val="0"/>
          <w:marBottom w:val="0"/>
          <w:divBdr>
            <w:top w:val="none" w:sz="0" w:space="0" w:color="auto"/>
            <w:left w:val="none" w:sz="0" w:space="0" w:color="auto"/>
            <w:bottom w:val="none" w:sz="0" w:space="0" w:color="auto"/>
            <w:right w:val="none" w:sz="0" w:space="0" w:color="auto"/>
          </w:divBdr>
          <w:divsChild>
            <w:div w:id="770012728">
              <w:marLeft w:val="0"/>
              <w:marRight w:val="0"/>
              <w:marTop w:val="0"/>
              <w:marBottom w:val="0"/>
              <w:divBdr>
                <w:top w:val="none" w:sz="0" w:space="0" w:color="auto"/>
                <w:left w:val="none" w:sz="0" w:space="0" w:color="auto"/>
                <w:bottom w:val="none" w:sz="0" w:space="0" w:color="auto"/>
                <w:right w:val="none" w:sz="0" w:space="0" w:color="auto"/>
              </w:divBdr>
              <w:divsChild>
                <w:div w:id="1745949369">
                  <w:marLeft w:val="0"/>
                  <w:marRight w:val="0"/>
                  <w:marTop w:val="0"/>
                  <w:marBottom w:val="0"/>
                  <w:divBdr>
                    <w:top w:val="none" w:sz="0" w:space="0" w:color="auto"/>
                    <w:left w:val="none" w:sz="0" w:space="0" w:color="auto"/>
                    <w:bottom w:val="none" w:sz="0" w:space="0" w:color="auto"/>
                    <w:right w:val="none" w:sz="0" w:space="0" w:color="auto"/>
                  </w:divBdr>
                  <w:divsChild>
                    <w:div w:id="483157035">
                      <w:marLeft w:val="0"/>
                      <w:marRight w:val="0"/>
                      <w:marTop w:val="0"/>
                      <w:marBottom w:val="0"/>
                      <w:divBdr>
                        <w:top w:val="none" w:sz="0" w:space="0" w:color="auto"/>
                        <w:left w:val="none" w:sz="0" w:space="0" w:color="auto"/>
                        <w:bottom w:val="none" w:sz="0" w:space="0" w:color="auto"/>
                        <w:right w:val="none" w:sz="0" w:space="0" w:color="auto"/>
                      </w:divBdr>
                    </w:div>
                  </w:divsChild>
                </w:div>
                <w:div w:id="12866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5502">
      <w:bodyDiv w:val="1"/>
      <w:marLeft w:val="0"/>
      <w:marRight w:val="0"/>
      <w:marTop w:val="0"/>
      <w:marBottom w:val="0"/>
      <w:divBdr>
        <w:top w:val="none" w:sz="0" w:space="0" w:color="auto"/>
        <w:left w:val="none" w:sz="0" w:space="0" w:color="auto"/>
        <w:bottom w:val="none" w:sz="0" w:space="0" w:color="auto"/>
        <w:right w:val="none" w:sz="0" w:space="0" w:color="auto"/>
      </w:divBdr>
      <w:divsChild>
        <w:div w:id="56439510">
          <w:marLeft w:val="0"/>
          <w:marRight w:val="0"/>
          <w:marTop w:val="0"/>
          <w:marBottom w:val="0"/>
          <w:divBdr>
            <w:top w:val="none" w:sz="0" w:space="0" w:color="auto"/>
            <w:left w:val="none" w:sz="0" w:space="0" w:color="auto"/>
            <w:bottom w:val="none" w:sz="0" w:space="0" w:color="auto"/>
            <w:right w:val="none" w:sz="0" w:space="0" w:color="auto"/>
          </w:divBdr>
          <w:divsChild>
            <w:div w:id="1654680654">
              <w:marLeft w:val="0"/>
              <w:marRight w:val="0"/>
              <w:marTop w:val="0"/>
              <w:marBottom w:val="0"/>
              <w:divBdr>
                <w:top w:val="none" w:sz="0" w:space="0" w:color="auto"/>
                <w:left w:val="none" w:sz="0" w:space="0" w:color="auto"/>
                <w:bottom w:val="none" w:sz="0" w:space="0" w:color="auto"/>
                <w:right w:val="none" w:sz="0" w:space="0" w:color="auto"/>
              </w:divBdr>
              <w:divsChild>
                <w:div w:id="2504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8358">
          <w:marLeft w:val="0"/>
          <w:marRight w:val="0"/>
          <w:marTop w:val="0"/>
          <w:marBottom w:val="0"/>
          <w:divBdr>
            <w:top w:val="none" w:sz="0" w:space="0" w:color="auto"/>
            <w:left w:val="none" w:sz="0" w:space="0" w:color="auto"/>
            <w:bottom w:val="none" w:sz="0" w:space="0" w:color="auto"/>
            <w:right w:val="none" w:sz="0" w:space="0" w:color="auto"/>
          </w:divBdr>
          <w:divsChild>
            <w:div w:id="592251982">
              <w:marLeft w:val="0"/>
              <w:marRight w:val="0"/>
              <w:marTop w:val="0"/>
              <w:marBottom w:val="0"/>
              <w:divBdr>
                <w:top w:val="none" w:sz="0" w:space="0" w:color="auto"/>
                <w:left w:val="none" w:sz="0" w:space="0" w:color="auto"/>
                <w:bottom w:val="none" w:sz="0" w:space="0" w:color="auto"/>
                <w:right w:val="none" w:sz="0" w:space="0" w:color="auto"/>
              </w:divBdr>
              <w:divsChild>
                <w:div w:id="2122724617">
                  <w:marLeft w:val="0"/>
                  <w:marRight w:val="0"/>
                  <w:marTop w:val="0"/>
                  <w:marBottom w:val="0"/>
                  <w:divBdr>
                    <w:top w:val="none" w:sz="0" w:space="0" w:color="auto"/>
                    <w:left w:val="none" w:sz="0" w:space="0" w:color="auto"/>
                    <w:bottom w:val="none" w:sz="0" w:space="0" w:color="auto"/>
                    <w:right w:val="none" w:sz="0" w:space="0" w:color="auto"/>
                  </w:divBdr>
                  <w:divsChild>
                    <w:div w:id="2037776644">
                      <w:marLeft w:val="0"/>
                      <w:marRight w:val="0"/>
                      <w:marTop w:val="0"/>
                      <w:marBottom w:val="0"/>
                      <w:divBdr>
                        <w:top w:val="none" w:sz="0" w:space="0" w:color="auto"/>
                        <w:left w:val="none" w:sz="0" w:space="0" w:color="auto"/>
                        <w:bottom w:val="none" w:sz="0" w:space="0" w:color="auto"/>
                        <w:right w:val="none" w:sz="0" w:space="0" w:color="auto"/>
                      </w:divBdr>
                    </w:div>
                  </w:divsChild>
                </w:div>
                <w:div w:id="18659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gif"/><Relationship Id="rId18" Type="http://schemas.openxmlformats.org/officeDocument/2006/relationships/image" Target="media/image10.gi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alt-invest.ru/lib/instrukciya-dlya-fd/" TargetMode="Externa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numbering" Target="numbering.xml"/><Relationship Id="rId6" Type="http://schemas.openxmlformats.org/officeDocument/2006/relationships/hyperlink" Target="https://www.alt-invest.ru/library/invest" TargetMode="Externa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hyperlink" Target="https://www.alt-invest.ru/lib/svyaz-s-ocenkoj-biznesa/" TargetMode="External"/><Relationship Id="rId19"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5704</Words>
  <Characters>32517</Characters>
  <Application>Microsoft Office Word</Application>
  <DocSecurity>0</DocSecurity>
  <Lines>270</Lines>
  <Paragraphs>76</Paragraphs>
  <ScaleCrop>false</ScaleCrop>
  <Company/>
  <LinksUpToDate>false</LinksUpToDate>
  <CharactersWithSpaces>38145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2023-09-20T05:45:00Z</dcterms:created>
  <dcterms:modified xsi:type="dcterms:W3CDTF">2023-09-20T05:48:00Z</dcterms:modified>
</cp:coreProperties>
</file>