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10640" w:type="dxa"/>
        <w:tblInd w:w="-998" w:type="dxa"/>
        <w:tblLook w:val="04A0" w:firstRow="1" w:lastRow="0" w:firstColumn="1" w:lastColumn="0" w:noHBand="0" w:noVBand="1"/>
      </w:tblPr>
      <w:tblGrid>
        <w:gridCol w:w="10640"/>
      </w:tblGrid>
      <w:tr w:rsidR="003D22FD" w:rsidTr="00321C42">
        <w:trPr>
          <w:trHeight w:val="58"/>
        </w:trPr>
        <w:tc>
          <w:tcPr>
            <w:tcW w:w="10640" w:type="dxa"/>
            <w:tcBorders>
              <w:top w:val="single" w:sz="4" w:space="0" w:color="auto"/>
              <w:left w:val="single" w:sz="4" w:space="0" w:color="auto"/>
              <w:bottom w:val="single" w:sz="4" w:space="0" w:color="auto"/>
              <w:right w:val="single" w:sz="4" w:space="0" w:color="auto"/>
            </w:tcBorders>
          </w:tcPr>
          <w:p w:rsidR="003D22FD" w:rsidRDefault="003D22FD" w:rsidP="008A7CB1">
            <w:pPr>
              <w:spacing w:line="360" w:lineRule="auto"/>
              <w:rPr>
                <w:sz w:val="28"/>
                <w:szCs w:val="28"/>
              </w:rPr>
            </w:pPr>
          </w:p>
          <w:p w:rsidR="003D22FD" w:rsidRDefault="003D22FD" w:rsidP="008A7CB1">
            <w:pPr>
              <w:spacing w:line="360" w:lineRule="auto"/>
              <w:jc w:val="center"/>
              <w:rPr>
                <w:sz w:val="28"/>
                <w:szCs w:val="28"/>
              </w:rPr>
            </w:pPr>
            <w:r>
              <w:rPr>
                <w:sz w:val="28"/>
                <w:szCs w:val="28"/>
              </w:rPr>
              <w:t>МИНИСТЕРСТВО СЕЛЬСКОГО ХОЗЯЙСТВА РОССИЙСКОЙ ФЕДЕРАЦИИ</w:t>
            </w:r>
          </w:p>
          <w:p w:rsidR="003D22FD" w:rsidRDefault="003D22FD" w:rsidP="008A7CB1">
            <w:pPr>
              <w:spacing w:line="360" w:lineRule="auto"/>
              <w:jc w:val="center"/>
              <w:rPr>
                <w:sz w:val="28"/>
                <w:szCs w:val="28"/>
              </w:rPr>
            </w:pPr>
            <w:r>
              <w:rPr>
                <w:sz w:val="28"/>
                <w:szCs w:val="28"/>
              </w:rPr>
              <w:t xml:space="preserve">ФГБОУ ВО «Казанский государственный аграрный университет» </w:t>
            </w:r>
          </w:p>
          <w:p w:rsidR="003D22FD" w:rsidRDefault="003D22FD" w:rsidP="008A7CB1">
            <w:pPr>
              <w:spacing w:line="360" w:lineRule="auto"/>
              <w:jc w:val="center"/>
              <w:rPr>
                <w:sz w:val="28"/>
                <w:szCs w:val="28"/>
              </w:rPr>
            </w:pPr>
          </w:p>
          <w:p w:rsidR="003D22FD" w:rsidRDefault="003D22FD" w:rsidP="008A7CB1">
            <w:pPr>
              <w:spacing w:line="360" w:lineRule="auto"/>
              <w:jc w:val="center"/>
              <w:rPr>
                <w:sz w:val="28"/>
                <w:szCs w:val="28"/>
              </w:rPr>
            </w:pPr>
            <w:r>
              <w:rPr>
                <w:sz w:val="28"/>
                <w:szCs w:val="28"/>
              </w:rPr>
              <w:t>Институт агробиотехнологий и землепользования</w:t>
            </w:r>
          </w:p>
          <w:p w:rsidR="003D22FD" w:rsidRDefault="003D22FD" w:rsidP="008A7CB1">
            <w:pPr>
              <w:spacing w:line="360" w:lineRule="auto"/>
              <w:jc w:val="center"/>
              <w:rPr>
                <w:sz w:val="28"/>
                <w:szCs w:val="28"/>
              </w:rPr>
            </w:pPr>
          </w:p>
          <w:p w:rsidR="003D22FD" w:rsidRDefault="003D22FD" w:rsidP="008A7CB1">
            <w:pPr>
              <w:spacing w:line="360" w:lineRule="auto"/>
              <w:jc w:val="center"/>
              <w:rPr>
                <w:sz w:val="28"/>
                <w:szCs w:val="28"/>
              </w:rPr>
            </w:pPr>
            <w:r>
              <w:rPr>
                <w:sz w:val="28"/>
                <w:szCs w:val="28"/>
              </w:rPr>
              <w:t>Кафедра агрохимии и почвоведения</w:t>
            </w:r>
          </w:p>
          <w:p w:rsidR="003D22FD" w:rsidRDefault="003D22FD" w:rsidP="008A7CB1">
            <w:pPr>
              <w:rPr>
                <w:sz w:val="28"/>
                <w:szCs w:val="28"/>
              </w:rPr>
            </w:pPr>
          </w:p>
          <w:p w:rsidR="003D22FD" w:rsidRDefault="003D22FD" w:rsidP="008A7CB1">
            <w:pPr>
              <w:spacing w:line="360" w:lineRule="auto"/>
              <w:jc w:val="center"/>
              <w:rPr>
                <w:b/>
                <w:sz w:val="28"/>
                <w:szCs w:val="28"/>
              </w:rPr>
            </w:pPr>
          </w:p>
          <w:p w:rsidR="003D22FD" w:rsidRDefault="003D22FD" w:rsidP="008A7CB1">
            <w:pPr>
              <w:spacing w:line="360" w:lineRule="auto"/>
              <w:jc w:val="center"/>
              <w:rPr>
                <w:b/>
                <w:sz w:val="28"/>
                <w:szCs w:val="28"/>
              </w:rPr>
            </w:pPr>
          </w:p>
          <w:p w:rsidR="003D22FD" w:rsidRDefault="003D22FD" w:rsidP="008A7CB1">
            <w:pPr>
              <w:spacing w:line="360" w:lineRule="auto"/>
              <w:rPr>
                <w:b/>
                <w:sz w:val="28"/>
                <w:szCs w:val="28"/>
              </w:rPr>
            </w:pPr>
          </w:p>
          <w:p w:rsidR="003D22FD" w:rsidRDefault="003D22FD" w:rsidP="008A7CB1">
            <w:pPr>
              <w:spacing w:line="360" w:lineRule="auto"/>
              <w:jc w:val="center"/>
              <w:rPr>
                <w:b/>
                <w:sz w:val="28"/>
                <w:szCs w:val="28"/>
              </w:rPr>
            </w:pPr>
            <w:r>
              <w:rPr>
                <w:b/>
                <w:sz w:val="28"/>
                <w:szCs w:val="28"/>
              </w:rPr>
              <w:t xml:space="preserve">КОНТРОЛЬНАЯ РАБОТА </w:t>
            </w:r>
          </w:p>
          <w:p w:rsidR="003D22FD" w:rsidRDefault="003D22FD" w:rsidP="008A7CB1">
            <w:pPr>
              <w:spacing w:line="360" w:lineRule="auto"/>
              <w:jc w:val="center"/>
              <w:rPr>
                <w:b/>
                <w:sz w:val="28"/>
                <w:szCs w:val="28"/>
              </w:rPr>
            </w:pPr>
            <w:r>
              <w:rPr>
                <w:b/>
                <w:sz w:val="28"/>
                <w:szCs w:val="28"/>
              </w:rPr>
              <w:t>по дисциплине «Оценка экологических рисков страхование посевов»</w:t>
            </w:r>
          </w:p>
          <w:p w:rsidR="003D22FD" w:rsidRDefault="003D22FD" w:rsidP="008A7CB1">
            <w:pPr>
              <w:jc w:val="center"/>
              <w:rPr>
                <w:b/>
                <w:sz w:val="28"/>
                <w:szCs w:val="28"/>
              </w:rPr>
            </w:pPr>
          </w:p>
          <w:p w:rsidR="003D22FD" w:rsidRDefault="003D22FD" w:rsidP="008A7CB1">
            <w:pPr>
              <w:jc w:val="center"/>
              <w:rPr>
                <w:sz w:val="28"/>
                <w:szCs w:val="28"/>
              </w:rPr>
            </w:pPr>
            <w:r>
              <w:rPr>
                <w:sz w:val="28"/>
                <w:szCs w:val="28"/>
              </w:rPr>
              <w:t>магистранта М122-04 группы по направлению 35.04.03 «агрохимия и агропочвоведение» (направленность «Экология почв и продовольственная безопасность»)</w:t>
            </w:r>
          </w:p>
          <w:p w:rsidR="003D22FD" w:rsidRDefault="003D22FD" w:rsidP="008A7CB1">
            <w:pPr>
              <w:jc w:val="center"/>
              <w:rPr>
                <w:sz w:val="28"/>
                <w:szCs w:val="28"/>
              </w:rPr>
            </w:pPr>
          </w:p>
          <w:p w:rsidR="003D22FD" w:rsidRDefault="003D22FD" w:rsidP="008A7CB1">
            <w:pPr>
              <w:jc w:val="center"/>
              <w:rPr>
                <w:sz w:val="28"/>
                <w:szCs w:val="28"/>
              </w:rPr>
            </w:pPr>
            <w:r>
              <w:rPr>
                <w:sz w:val="28"/>
                <w:szCs w:val="28"/>
              </w:rPr>
              <w:t>__</w:t>
            </w:r>
            <w:r w:rsidRPr="008A6034">
              <w:rPr>
                <w:sz w:val="28"/>
                <w:szCs w:val="28"/>
                <w:u w:val="single"/>
              </w:rPr>
              <w:t>Ахунова Диля Робертовна</w:t>
            </w:r>
            <w:r>
              <w:rPr>
                <w:sz w:val="28"/>
                <w:szCs w:val="28"/>
              </w:rPr>
              <w:t>_______</w:t>
            </w:r>
          </w:p>
          <w:p w:rsidR="003D22FD" w:rsidRDefault="003D22FD" w:rsidP="008A7CB1">
            <w:pPr>
              <w:jc w:val="center"/>
              <w:rPr>
                <w:i/>
              </w:rPr>
            </w:pPr>
            <w:r>
              <w:rPr>
                <w:i/>
              </w:rPr>
              <w:t>(Ф.И.О. магистранта)</w:t>
            </w:r>
          </w:p>
          <w:p w:rsidR="003D22FD" w:rsidRDefault="003D22FD" w:rsidP="008A7CB1">
            <w:pPr>
              <w:jc w:val="center"/>
              <w:rPr>
                <w:b/>
                <w:sz w:val="28"/>
                <w:szCs w:val="28"/>
              </w:rPr>
            </w:pPr>
          </w:p>
          <w:p w:rsidR="003D22FD" w:rsidRDefault="003D22FD" w:rsidP="008A7CB1">
            <w:pPr>
              <w:jc w:val="center"/>
              <w:rPr>
                <w:b/>
                <w:sz w:val="28"/>
                <w:szCs w:val="28"/>
              </w:rPr>
            </w:pPr>
          </w:p>
          <w:p w:rsidR="003D22FD" w:rsidRDefault="003D22FD" w:rsidP="008A7CB1">
            <w:pPr>
              <w:jc w:val="center"/>
              <w:rPr>
                <w:b/>
                <w:sz w:val="28"/>
                <w:szCs w:val="28"/>
              </w:rPr>
            </w:pPr>
          </w:p>
          <w:p w:rsidR="003D22FD" w:rsidRDefault="003D22FD" w:rsidP="008A7CB1">
            <w:pPr>
              <w:jc w:val="center"/>
              <w:rPr>
                <w:b/>
                <w:sz w:val="28"/>
                <w:szCs w:val="28"/>
              </w:rPr>
            </w:pPr>
          </w:p>
          <w:p w:rsidR="003D22FD" w:rsidRDefault="003D22FD" w:rsidP="008A7CB1">
            <w:pPr>
              <w:jc w:val="center"/>
              <w:rPr>
                <w:b/>
                <w:sz w:val="28"/>
                <w:szCs w:val="28"/>
              </w:rPr>
            </w:pPr>
          </w:p>
          <w:p w:rsidR="003D22FD" w:rsidRDefault="003D22FD" w:rsidP="008A7CB1">
            <w:pPr>
              <w:jc w:val="center"/>
              <w:rPr>
                <w:b/>
                <w:sz w:val="28"/>
                <w:szCs w:val="28"/>
              </w:rPr>
            </w:pPr>
          </w:p>
          <w:p w:rsidR="003D22FD" w:rsidRDefault="003D22FD" w:rsidP="008A7CB1">
            <w:pPr>
              <w:jc w:val="center"/>
              <w:rPr>
                <w:b/>
                <w:sz w:val="28"/>
                <w:szCs w:val="28"/>
              </w:rPr>
            </w:pPr>
          </w:p>
          <w:p w:rsidR="00321C42" w:rsidRPr="00321C42" w:rsidRDefault="00321C42" w:rsidP="00321C42">
            <w:pPr>
              <w:spacing w:line="360" w:lineRule="auto"/>
              <w:jc w:val="right"/>
              <w:rPr>
                <w:sz w:val="28"/>
                <w:szCs w:val="28"/>
              </w:rPr>
            </w:pPr>
            <w:r>
              <w:rPr>
                <w:sz w:val="28"/>
                <w:szCs w:val="28"/>
              </w:rPr>
              <w:t xml:space="preserve">Выполнила: </w:t>
            </w:r>
            <w:r w:rsidR="00185B75">
              <w:rPr>
                <w:sz w:val="28"/>
                <w:szCs w:val="28"/>
              </w:rPr>
              <w:t>Ахунов</w:t>
            </w:r>
            <w:bookmarkStart w:id="0" w:name="_GoBack"/>
            <w:bookmarkEnd w:id="0"/>
            <w:r>
              <w:rPr>
                <w:sz w:val="28"/>
                <w:szCs w:val="28"/>
              </w:rPr>
              <w:t>а Д</w:t>
            </w:r>
            <w:r w:rsidRPr="00321C42">
              <w:rPr>
                <w:sz w:val="28"/>
                <w:szCs w:val="28"/>
              </w:rPr>
              <w:t>.Р.</w:t>
            </w:r>
          </w:p>
          <w:p w:rsidR="00321C42" w:rsidRPr="00321C42" w:rsidRDefault="00321C42" w:rsidP="00321C42">
            <w:pPr>
              <w:spacing w:line="360" w:lineRule="auto"/>
              <w:jc w:val="right"/>
              <w:rPr>
                <w:sz w:val="28"/>
                <w:szCs w:val="28"/>
              </w:rPr>
            </w:pPr>
            <w:r w:rsidRPr="00321C42">
              <w:rPr>
                <w:sz w:val="28"/>
                <w:szCs w:val="28"/>
              </w:rPr>
              <w:t xml:space="preserve">                                                                      </w:t>
            </w:r>
            <w:r>
              <w:rPr>
                <w:sz w:val="28"/>
                <w:szCs w:val="28"/>
              </w:rPr>
              <w:t xml:space="preserve">       Шифр зач.книжки: АМ322572</w:t>
            </w:r>
          </w:p>
          <w:p w:rsidR="00321C42" w:rsidRPr="00321C42" w:rsidRDefault="00321C42" w:rsidP="00321C42">
            <w:pPr>
              <w:spacing w:line="360" w:lineRule="auto"/>
              <w:jc w:val="right"/>
              <w:rPr>
                <w:sz w:val="28"/>
                <w:szCs w:val="28"/>
              </w:rPr>
            </w:pPr>
            <w:r w:rsidRPr="00321C42">
              <w:rPr>
                <w:sz w:val="28"/>
                <w:szCs w:val="28"/>
              </w:rPr>
              <w:t xml:space="preserve">                                                                  Проверил: Фасхутдинов Ф.Ш.</w:t>
            </w:r>
          </w:p>
          <w:p w:rsidR="003D22FD" w:rsidRDefault="003D22FD" w:rsidP="008A7CB1">
            <w:pPr>
              <w:jc w:val="both"/>
              <w:rPr>
                <w:sz w:val="28"/>
                <w:szCs w:val="28"/>
              </w:rPr>
            </w:pPr>
          </w:p>
          <w:p w:rsidR="003D22FD" w:rsidRDefault="003D22FD" w:rsidP="008A7CB1">
            <w:pPr>
              <w:rPr>
                <w:sz w:val="28"/>
                <w:szCs w:val="28"/>
              </w:rPr>
            </w:pPr>
          </w:p>
          <w:p w:rsidR="003D22FD" w:rsidRDefault="003D22FD" w:rsidP="008A7CB1">
            <w:pPr>
              <w:rPr>
                <w:sz w:val="28"/>
                <w:szCs w:val="28"/>
              </w:rPr>
            </w:pPr>
          </w:p>
          <w:p w:rsidR="003D22FD" w:rsidRDefault="003D22FD" w:rsidP="008A7CB1">
            <w:pPr>
              <w:rPr>
                <w:sz w:val="28"/>
                <w:szCs w:val="28"/>
              </w:rPr>
            </w:pPr>
          </w:p>
          <w:p w:rsidR="003D22FD" w:rsidRDefault="003D22FD" w:rsidP="008A7CB1">
            <w:pPr>
              <w:rPr>
                <w:sz w:val="28"/>
                <w:szCs w:val="28"/>
              </w:rPr>
            </w:pPr>
          </w:p>
          <w:p w:rsidR="003D22FD" w:rsidRDefault="003D22FD" w:rsidP="008A7CB1">
            <w:pPr>
              <w:jc w:val="center"/>
              <w:rPr>
                <w:sz w:val="28"/>
                <w:szCs w:val="28"/>
              </w:rPr>
            </w:pPr>
            <w:r>
              <w:rPr>
                <w:sz w:val="28"/>
                <w:szCs w:val="28"/>
              </w:rPr>
              <w:t>Казань 2023</w:t>
            </w:r>
          </w:p>
          <w:p w:rsidR="003D22FD" w:rsidRDefault="003D22FD" w:rsidP="008A7CB1">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0D615D9C" wp14:editId="6B50DC52">
                      <wp:simplePos x="0" y="0"/>
                      <wp:positionH relativeFrom="column">
                        <wp:posOffset>2734310</wp:posOffset>
                      </wp:positionH>
                      <wp:positionV relativeFrom="paragraph">
                        <wp:posOffset>374650</wp:posOffset>
                      </wp:positionV>
                      <wp:extent cx="259080" cy="144780"/>
                      <wp:effectExtent l="0" t="0" r="26670" b="26670"/>
                      <wp:wrapNone/>
                      <wp:docPr id="6" name="Прямоугольник 6"/>
                      <wp:cNvGraphicFramePr/>
                      <a:graphic xmlns:a="http://schemas.openxmlformats.org/drawingml/2006/main">
                        <a:graphicData uri="http://schemas.microsoft.com/office/word/2010/wordprocessingShape">
                          <wps:wsp>
                            <wps:cNvSpPr/>
                            <wps:spPr>
                              <a:xfrm>
                                <a:off x="0" y="0"/>
                                <a:ext cx="259080" cy="144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22FD" w:rsidRDefault="003D22FD" w:rsidP="003D22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5D9C" id="Прямоугольник 6" o:spid="_x0000_s1026" style="position:absolute;left:0;text-align:left;margin-left:215.3pt;margin-top:29.5pt;width:20.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" fillcolor="white [3212]" strokecolor="white [3212]" strokeweight="1pt">
                      <v:textbox>
                        <w:txbxContent>
                          <w:p w:rsidR="003D22FD" w:rsidRDefault="003D22FD" w:rsidP="003D22FD">
                            <w:pPr>
                              <w:jc w:val="center"/>
                            </w:pPr>
                          </w:p>
                        </w:txbxContent>
                      </v:textbox>
                    </v:rect>
                  </w:pict>
                </mc:Fallback>
              </mc:AlternateContent>
            </w:r>
          </w:p>
        </w:tc>
      </w:tr>
    </w:tbl>
    <w:sdt>
      <w:sdtPr>
        <w:rPr>
          <w:rFonts w:asciiTheme="minorHAnsi" w:eastAsiaTheme="minorHAnsi" w:hAnsiTheme="minorHAnsi" w:cstheme="minorBidi"/>
          <w:color w:val="auto"/>
          <w:sz w:val="22"/>
          <w:szCs w:val="22"/>
          <w:lang w:eastAsia="en-US"/>
        </w:rPr>
        <w:id w:val="1511642435"/>
        <w:docPartObj>
          <w:docPartGallery w:val="Table of Contents"/>
          <w:docPartUnique/>
        </w:docPartObj>
      </w:sdtPr>
      <w:sdtEndPr>
        <w:rPr>
          <w:b/>
          <w:bCs/>
        </w:rPr>
      </w:sdtEndPr>
      <w:sdtContent>
        <w:p w:rsidR="00321C42" w:rsidRPr="00321C42" w:rsidRDefault="00321C42" w:rsidP="00321C42">
          <w:pPr>
            <w:pStyle w:val="aa"/>
            <w:jc w:val="center"/>
            <w:rPr>
              <w:rFonts w:ascii="Times New Roman" w:hAnsi="Times New Roman" w:cs="Times New Roman"/>
              <w:b/>
              <w:color w:val="auto"/>
              <w:sz w:val="28"/>
            </w:rPr>
          </w:pPr>
          <w:r w:rsidRPr="00321C42">
            <w:rPr>
              <w:rFonts w:ascii="Times New Roman" w:hAnsi="Times New Roman" w:cs="Times New Roman"/>
              <w:b/>
              <w:color w:val="auto"/>
              <w:sz w:val="28"/>
            </w:rPr>
            <w:t>Оглавление</w:t>
          </w:r>
        </w:p>
        <w:p w:rsidR="00321C42" w:rsidRPr="00167008" w:rsidRDefault="00321C42" w:rsidP="00167008">
          <w:pPr>
            <w:pStyle w:val="12"/>
            <w:tabs>
              <w:tab w:val="right" w:leader="dot" w:pos="9345"/>
            </w:tabs>
            <w:spacing w:line="360" w:lineRule="auto"/>
            <w:rPr>
              <w:rFonts w:ascii="Times New Roman" w:hAnsi="Times New Roman" w:cs="Times New Roman"/>
              <w:noProof/>
              <w:sz w:val="28"/>
            </w:rPr>
          </w:pPr>
          <w:r w:rsidRPr="00167008">
            <w:rPr>
              <w:rFonts w:ascii="Times New Roman" w:hAnsi="Times New Roman" w:cs="Times New Roman"/>
              <w:sz w:val="28"/>
            </w:rPr>
            <w:fldChar w:fldCharType="begin"/>
          </w:r>
          <w:r w:rsidRPr="00167008">
            <w:rPr>
              <w:rFonts w:ascii="Times New Roman" w:hAnsi="Times New Roman" w:cs="Times New Roman"/>
              <w:sz w:val="28"/>
            </w:rPr>
            <w:instrText xml:space="preserve"> TOC \o "1-3" \h \z \u </w:instrText>
          </w:r>
          <w:r w:rsidRPr="00167008">
            <w:rPr>
              <w:rFonts w:ascii="Times New Roman" w:hAnsi="Times New Roman" w:cs="Times New Roman"/>
              <w:sz w:val="28"/>
            </w:rPr>
            <w:fldChar w:fldCharType="separate"/>
          </w:r>
          <w:hyperlink w:anchor="_Toc153469328" w:history="1">
            <w:r w:rsidRPr="00167008">
              <w:rPr>
                <w:rStyle w:val="ab"/>
                <w:rFonts w:ascii="Times New Roman" w:hAnsi="Times New Roman" w:cs="Times New Roman"/>
                <w:noProof/>
                <w:sz w:val="28"/>
              </w:rPr>
              <w:t>Введение</w:t>
            </w:r>
            <w:r w:rsidRPr="00167008">
              <w:rPr>
                <w:rFonts w:ascii="Times New Roman" w:hAnsi="Times New Roman" w:cs="Times New Roman"/>
                <w:noProof/>
                <w:webHidden/>
                <w:sz w:val="28"/>
              </w:rPr>
              <w:tab/>
            </w:r>
            <w:r w:rsidRPr="00167008">
              <w:rPr>
                <w:rFonts w:ascii="Times New Roman" w:hAnsi="Times New Roman" w:cs="Times New Roman"/>
                <w:noProof/>
                <w:webHidden/>
                <w:sz w:val="28"/>
              </w:rPr>
              <w:fldChar w:fldCharType="begin"/>
            </w:r>
            <w:r w:rsidRPr="00167008">
              <w:rPr>
                <w:rFonts w:ascii="Times New Roman" w:hAnsi="Times New Roman" w:cs="Times New Roman"/>
                <w:noProof/>
                <w:webHidden/>
                <w:sz w:val="28"/>
              </w:rPr>
              <w:instrText xml:space="preserve"> PAGEREF _Toc153469328 \h </w:instrText>
            </w:r>
            <w:r w:rsidRPr="00167008">
              <w:rPr>
                <w:rFonts w:ascii="Times New Roman" w:hAnsi="Times New Roman" w:cs="Times New Roman"/>
                <w:noProof/>
                <w:webHidden/>
                <w:sz w:val="28"/>
              </w:rPr>
            </w:r>
            <w:r w:rsidRPr="00167008">
              <w:rPr>
                <w:rFonts w:ascii="Times New Roman" w:hAnsi="Times New Roman" w:cs="Times New Roman"/>
                <w:noProof/>
                <w:webHidden/>
                <w:sz w:val="28"/>
              </w:rPr>
              <w:fldChar w:fldCharType="separate"/>
            </w:r>
            <w:r w:rsidRPr="00167008">
              <w:rPr>
                <w:rFonts w:ascii="Times New Roman" w:hAnsi="Times New Roman" w:cs="Times New Roman"/>
                <w:noProof/>
                <w:webHidden/>
                <w:sz w:val="28"/>
              </w:rPr>
              <w:t>3</w:t>
            </w:r>
            <w:r w:rsidRPr="00167008">
              <w:rPr>
                <w:rFonts w:ascii="Times New Roman" w:hAnsi="Times New Roman" w:cs="Times New Roman"/>
                <w:noProof/>
                <w:webHidden/>
                <w:sz w:val="28"/>
              </w:rPr>
              <w:fldChar w:fldCharType="end"/>
            </w:r>
          </w:hyperlink>
        </w:p>
        <w:p w:rsidR="00321C42" w:rsidRPr="00167008" w:rsidRDefault="00A9093C" w:rsidP="00167008">
          <w:pPr>
            <w:pStyle w:val="12"/>
            <w:tabs>
              <w:tab w:val="right" w:leader="dot" w:pos="9345"/>
            </w:tabs>
            <w:spacing w:line="360" w:lineRule="auto"/>
            <w:rPr>
              <w:rFonts w:ascii="Times New Roman" w:hAnsi="Times New Roman" w:cs="Times New Roman"/>
              <w:noProof/>
              <w:sz w:val="28"/>
            </w:rPr>
          </w:pPr>
          <w:hyperlink w:anchor="_Toc153469329" w:history="1">
            <w:r w:rsidR="00321C42" w:rsidRPr="00167008">
              <w:rPr>
                <w:rStyle w:val="ab"/>
                <w:rFonts w:ascii="Times New Roman" w:hAnsi="Times New Roman" w:cs="Times New Roman"/>
                <w:noProof/>
                <w:sz w:val="28"/>
              </w:rPr>
              <w:t>1.Оценка экологического риска. Проблемы развития  экологического страхования.</w:t>
            </w:r>
            <w:r w:rsidR="00321C42" w:rsidRPr="00167008">
              <w:rPr>
                <w:rFonts w:ascii="Times New Roman" w:hAnsi="Times New Roman" w:cs="Times New Roman"/>
                <w:noProof/>
                <w:webHidden/>
                <w:sz w:val="28"/>
              </w:rPr>
              <w:tab/>
            </w:r>
            <w:r w:rsidR="00321C42" w:rsidRPr="00167008">
              <w:rPr>
                <w:rFonts w:ascii="Times New Roman" w:hAnsi="Times New Roman" w:cs="Times New Roman"/>
                <w:noProof/>
                <w:webHidden/>
                <w:sz w:val="28"/>
              </w:rPr>
              <w:fldChar w:fldCharType="begin"/>
            </w:r>
            <w:r w:rsidR="00321C42" w:rsidRPr="00167008">
              <w:rPr>
                <w:rFonts w:ascii="Times New Roman" w:hAnsi="Times New Roman" w:cs="Times New Roman"/>
                <w:noProof/>
                <w:webHidden/>
                <w:sz w:val="28"/>
              </w:rPr>
              <w:instrText xml:space="preserve"> PAGEREF _Toc153469329 \h </w:instrText>
            </w:r>
            <w:r w:rsidR="00321C42" w:rsidRPr="00167008">
              <w:rPr>
                <w:rFonts w:ascii="Times New Roman" w:hAnsi="Times New Roman" w:cs="Times New Roman"/>
                <w:noProof/>
                <w:webHidden/>
                <w:sz w:val="28"/>
              </w:rPr>
            </w:r>
            <w:r w:rsidR="00321C42" w:rsidRPr="00167008">
              <w:rPr>
                <w:rFonts w:ascii="Times New Roman" w:hAnsi="Times New Roman" w:cs="Times New Roman"/>
                <w:noProof/>
                <w:webHidden/>
                <w:sz w:val="28"/>
              </w:rPr>
              <w:fldChar w:fldCharType="separate"/>
            </w:r>
            <w:r w:rsidR="00321C42" w:rsidRPr="00167008">
              <w:rPr>
                <w:rFonts w:ascii="Times New Roman" w:hAnsi="Times New Roman" w:cs="Times New Roman"/>
                <w:noProof/>
                <w:webHidden/>
                <w:sz w:val="28"/>
              </w:rPr>
              <w:t>4</w:t>
            </w:r>
            <w:r w:rsidR="00321C42" w:rsidRPr="00167008">
              <w:rPr>
                <w:rFonts w:ascii="Times New Roman" w:hAnsi="Times New Roman" w:cs="Times New Roman"/>
                <w:noProof/>
                <w:webHidden/>
                <w:sz w:val="28"/>
              </w:rPr>
              <w:fldChar w:fldCharType="end"/>
            </w:r>
          </w:hyperlink>
        </w:p>
        <w:p w:rsidR="00321C42" w:rsidRPr="00167008" w:rsidRDefault="00A9093C" w:rsidP="00167008">
          <w:pPr>
            <w:pStyle w:val="12"/>
            <w:tabs>
              <w:tab w:val="right" w:leader="dot" w:pos="9345"/>
            </w:tabs>
            <w:spacing w:line="360" w:lineRule="auto"/>
            <w:rPr>
              <w:rFonts w:ascii="Times New Roman" w:hAnsi="Times New Roman" w:cs="Times New Roman"/>
              <w:noProof/>
              <w:sz w:val="28"/>
            </w:rPr>
          </w:pPr>
          <w:hyperlink w:anchor="_Toc153469330" w:history="1">
            <w:r w:rsidR="00321C42" w:rsidRPr="00167008">
              <w:rPr>
                <w:rStyle w:val="ab"/>
                <w:rFonts w:ascii="Times New Roman" w:hAnsi="Times New Roman" w:cs="Times New Roman"/>
                <w:noProof/>
                <w:sz w:val="28"/>
              </w:rPr>
              <w:t>11.Страховая оценка и тарифные ставки в экологическом страховании.</w:t>
            </w:r>
            <w:r w:rsidR="00321C42" w:rsidRPr="00167008">
              <w:rPr>
                <w:rFonts w:ascii="Times New Roman" w:hAnsi="Times New Roman" w:cs="Times New Roman"/>
                <w:noProof/>
                <w:webHidden/>
                <w:sz w:val="28"/>
              </w:rPr>
              <w:tab/>
            </w:r>
            <w:r w:rsidR="00321C42" w:rsidRPr="00167008">
              <w:rPr>
                <w:rFonts w:ascii="Times New Roman" w:hAnsi="Times New Roman" w:cs="Times New Roman"/>
                <w:noProof/>
                <w:webHidden/>
                <w:sz w:val="28"/>
              </w:rPr>
              <w:fldChar w:fldCharType="begin"/>
            </w:r>
            <w:r w:rsidR="00321C42" w:rsidRPr="00167008">
              <w:rPr>
                <w:rFonts w:ascii="Times New Roman" w:hAnsi="Times New Roman" w:cs="Times New Roman"/>
                <w:noProof/>
                <w:webHidden/>
                <w:sz w:val="28"/>
              </w:rPr>
              <w:instrText xml:space="preserve"> PAGEREF _Toc153469330 \h </w:instrText>
            </w:r>
            <w:r w:rsidR="00321C42" w:rsidRPr="00167008">
              <w:rPr>
                <w:rFonts w:ascii="Times New Roman" w:hAnsi="Times New Roman" w:cs="Times New Roman"/>
                <w:noProof/>
                <w:webHidden/>
                <w:sz w:val="28"/>
              </w:rPr>
            </w:r>
            <w:r w:rsidR="00321C42" w:rsidRPr="00167008">
              <w:rPr>
                <w:rFonts w:ascii="Times New Roman" w:hAnsi="Times New Roman" w:cs="Times New Roman"/>
                <w:noProof/>
                <w:webHidden/>
                <w:sz w:val="28"/>
              </w:rPr>
              <w:fldChar w:fldCharType="separate"/>
            </w:r>
            <w:r w:rsidR="00321C42" w:rsidRPr="00167008">
              <w:rPr>
                <w:rFonts w:ascii="Times New Roman" w:hAnsi="Times New Roman" w:cs="Times New Roman"/>
                <w:noProof/>
                <w:webHidden/>
                <w:sz w:val="28"/>
              </w:rPr>
              <w:t>8</w:t>
            </w:r>
            <w:r w:rsidR="00321C42" w:rsidRPr="00167008">
              <w:rPr>
                <w:rFonts w:ascii="Times New Roman" w:hAnsi="Times New Roman" w:cs="Times New Roman"/>
                <w:noProof/>
                <w:webHidden/>
                <w:sz w:val="28"/>
              </w:rPr>
              <w:fldChar w:fldCharType="end"/>
            </w:r>
          </w:hyperlink>
        </w:p>
        <w:p w:rsidR="00321C42" w:rsidRPr="00167008" w:rsidRDefault="00A9093C" w:rsidP="00167008">
          <w:pPr>
            <w:pStyle w:val="12"/>
            <w:tabs>
              <w:tab w:val="right" w:leader="dot" w:pos="9345"/>
            </w:tabs>
            <w:spacing w:line="360" w:lineRule="auto"/>
            <w:rPr>
              <w:rFonts w:ascii="Times New Roman" w:hAnsi="Times New Roman" w:cs="Times New Roman"/>
              <w:noProof/>
              <w:sz w:val="28"/>
            </w:rPr>
          </w:pPr>
          <w:hyperlink w:anchor="_Toc153469331" w:history="1">
            <w:r w:rsidR="00321C42" w:rsidRPr="00167008">
              <w:rPr>
                <w:rStyle w:val="ab"/>
                <w:rFonts w:ascii="Times New Roman" w:hAnsi="Times New Roman" w:cs="Times New Roman"/>
                <w:noProof/>
                <w:sz w:val="28"/>
              </w:rPr>
              <w:t>23. Назовите условия, в соответствии с постановлением Правительства Российской Федерации от 30 декабря 2011 г. № 1205, препятствующие привлечению к проведению экспертизы лица в качестве независимого эксперта, аттестованного Минсельхозом России:</w:t>
            </w:r>
            <w:r w:rsidR="00321C42" w:rsidRPr="00167008">
              <w:rPr>
                <w:rFonts w:ascii="Times New Roman" w:hAnsi="Times New Roman" w:cs="Times New Roman"/>
                <w:noProof/>
                <w:webHidden/>
                <w:sz w:val="28"/>
              </w:rPr>
              <w:tab/>
            </w:r>
            <w:r w:rsidR="00321C42" w:rsidRPr="00167008">
              <w:rPr>
                <w:rFonts w:ascii="Times New Roman" w:hAnsi="Times New Roman" w:cs="Times New Roman"/>
                <w:noProof/>
                <w:webHidden/>
                <w:sz w:val="28"/>
              </w:rPr>
              <w:fldChar w:fldCharType="begin"/>
            </w:r>
            <w:r w:rsidR="00321C42" w:rsidRPr="00167008">
              <w:rPr>
                <w:rFonts w:ascii="Times New Roman" w:hAnsi="Times New Roman" w:cs="Times New Roman"/>
                <w:noProof/>
                <w:webHidden/>
                <w:sz w:val="28"/>
              </w:rPr>
              <w:instrText xml:space="preserve"> PAGEREF _Toc153469331 \h </w:instrText>
            </w:r>
            <w:r w:rsidR="00321C42" w:rsidRPr="00167008">
              <w:rPr>
                <w:rFonts w:ascii="Times New Roman" w:hAnsi="Times New Roman" w:cs="Times New Roman"/>
                <w:noProof/>
                <w:webHidden/>
                <w:sz w:val="28"/>
              </w:rPr>
            </w:r>
            <w:r w:rsidR="00321C42" w:rsidRPr="00167008">
              <w:rPr>
                <w:rFonts w:ascii="Times New Roman" w:hAnsi="Times New Roman" w:cs="Times New Roman"/>
                <w:noProof/>
                <w:webHidden/>
                <w:sz w:val="28"/>
              </w:rPr>
              <w:fldChar w:fldCharType="separate"/>
            </w:r>
            <w:r w:rsidR="00321C42" w:rsidRPr="00167008">
              <w:rPr>
                <w:rFonts w:ascii="Times New Roman" w:hAnsi="Times New Roman" w:cs="Times New Roman"/>
                <w:noProof/>
                <w:webHidden/>
                <w:sz w:val="28"/>
              </w:rPr>
              <w:t>9</w:t>
            </w:r>
            <w:r w:rsidR="00321C42" w:rsidRPr="00167008">
              <w:rPr>
                <w:rFonts w:ascii="Times New Roman" w:hAnsi="Times New Roman" w:cs="Times New Roman"/>
                <w:noProof/>
                <w:webHidden/>
                <w:sz w:val="28"/>
              </w:rPr>
              <w:fldChar w:fldCharType="end"/>
            </w:r>
          </w:hyperlink>
        </w:p>
        <w:p w:rsidR="00321C42" w:rsidRPr="00167008" w:rsidRDefault="00A9093C" w:rsidP="00167008">
          <w:pPr>
            <w:pStyle w:val="12"/>
            <w:tabs>
              <w:tab w:val="right" w:leader="dot" w:pos="9345"/>
            </w:tabs>
            <w:spacing w:line="360" w:lineRule="auto"/>
            <w:rPr>
              <w:rFonts w:ascii="Times New Roman" w:hAnsi="Times New Roman" w:cs="Times New Roman"/>
              <w:noProof/>
              <w:sz w:val="28"/>
            </w:rPr>
          </w:pPr>
          <w:hyperlink w:anchor="_Toc153469332" w:history="1">
            <w:r w:rsidR="00321C42" w:rsidRPr="00167008">
              <w:rPr>
                <w:rStyle w:val="ab"/>
                <w:rFonts w:ascii="Times New Roman" w:hAnsi="Times New Roman" w:cs="Times New Roman"/>
                <w:noProof/>
                <w:sz w:val="28"/>
              </w:rPr>
              <w:t>Заключение</w:t>
            </w:r>
            <w:r w:rsidR="00321C42" w:rsidRPr="00167008">
              <w:rPr>
                <w:rFonts w:ascii="Times New Roman" w:hAnsi="Times New Roman" w:cs="Times New Roman"/>
                <w:noProof/>
                <w:webHidden/>
                <w:sz w:val="28"/>
              </w:rPr>
              <w:tab/>
            </w:r>
            <w:r w:rsidR="00321C42" w:rsidRPr="00167008">
              <w:rPr>
                <w:rFonts w:ascii="Times New Roman" w:hAnsi="Times New Roman" w:cs="Times New Roman"/>
                <w:noProof/>
                <w:webHidden/>
                <w:sz w:val="28"/>
              </w:rPr>
              <w:fldChar w:fldCharType="begin"/>
            </w:r>
            <w:r w:rsidR="00321C42" w:rsidRPr="00167008">
              <w:rPr>
                <w:rFonts w:ascii="Times New Roman" w:hAnsi="Times New Roman" w:cs="Times New Roman"/>
                <w:noProof/>
                <w:webHidden/>
                <w:sz w:val="28"/>
              </w:rPr>
              <w:instrText xml:space="preserve"> PAGEREF _Toc153469332 \h </w:instrText>
            </w:r>
            <w:r w:rsidR="00321C42" w:rsidRPr="00167008">
              <w:rPr>
                <w:rFonts w:ascii="Times New Roman" w:hAnsi="Times New Roman" w:cs="Times New Roman"/>
                <w:noProof/>
                <w:webHidden/>
                <w:sz w:val="28"/>
              </w:rPr>
            </w:r>
            <w:r w:rsidR="00321C42" w:rsidRPr="00167008">
              <w:rPr>
                <w:rFonts w:ascii="Times New Roman" w:hAnsi="Times New Roman" w:cs="Times New Roman"/>
                <w:noProof/>
                <w:webHidden/>
                <w:sz w:val="28"/>
              </w:rPr>
              <w:fldChar w:fldCharType="separate"/>
            </w:r>
            <w:r w:rsidR="00321C42" w:rsidRPr="00167008">
              <w:rPr>
                <w:rFonts w:ascii="Times New Roman" w:hAnsi="Times New Roman" w:cs="Times New Roman"/>
                <w:noProof/>
                <w:webHidden/>
                <w:sz w:val="28"/>
              </w:rPr>
              <w:t>12</w:t>
            </w:r>
            <w:r w:rsidR="00321C42" w:rsidRPr="00167008">
              <w:rPr>
                <w:rFonts w:ascii="Times New Roman" w:hAnsi="Times New Roman" w:cs="Times New Roman"/>
                <w:noProof/>
                <w:webHidden/>
                <w:sz w:val="28"/>
              </w:rPr>
              <w:fldChar w:fldCharType="end"/>
            </w:r>
          </w:hyperlink>
        </w:p>
        <w:p w:rsidR="00321C42" w:rsidRPr="00167008" w:rsidRDefault="00A9093C" w:rsidP="00167008">
          <w:pPr>
            <w:pStyle w:val="12"/>
            <w:tabs>
              <w:tab w:val="right" w:leader="dot" w:pos="9345"/>
            </w:tabs>
            <w:spacing w:line="360" w:lineRule="auto"/>
            <w:rPr>
              <w:rFonts w:ascii="Times New Roman" w:hAnsi="Times New Roman" w:cs="Times New Roman"/>
              <w:noProof/>
              <w:sz w:val="28"/>
            </w:rPr>
          </w:pPr>
          <w:hyperlink w:anchor="_Toc153469333" w:history="1">
            <w:r w:rsidR="00321C42" w:rsidRPr="00167008">
              <w:rPr>
                <w:rStyle w:val="ab"/>
                <w:rFonts w:ascii="Times New Roman" w:hAnsi="Times New Roman" w:cs="Times New Roman"/>
                <w:noProof/>
                <w:sz w:val="28"/>
              </w:rPr>
              <w:t>Список использованных источников</w:t>
            </w:r>
            <w:r w:rsidR="00321C42" w:rsidRPr="00167008">
              <w:rPr>
                <w:rFonts w:ascii="Times New Roman" w:hAnsi="Times New Roman" w:cs="Times New Roman"/>
                <w:noProof/>
                <w:webHidden/>
                <w:sz w:val="28"/>
              </w:rPr>
              <w:tab/>
            </w:r>
            <w:r w:rsidR="00321C42" w:rsidRPr="00167008">
              <w:rPr>
                <w:rFonts w:ascii="Times New Roman" w:hAnsi="Times New Roman" w:cs="Times New Roman"/>
                <w:noProof/>
                <w:webHidden/>
                <w:sz w:val="28"/>
              </w:rPr>
              <w:fldChar w:fldCharType="begin"/>
            </w:r>
            <w:r w:rsidR="00321C42" w:rsidRPr="00167008">
              <w:rPr>
                <w:rFonts w:ascii="Times New Roman" w:hAnsi="Times New Roman" w:cs="Times New Roman"/>
                <w:noProof/>
                <w:webHidden/>
                <w:sz w:val="28"/>
              </w:rPr>
              <w:instrText xml:space="preserve"> PAGEREF _Toc153469333 \h </w:instrText>
            </w:r>
            <w:r w:rsidR="00321C42" w:rsidRPr="00167008">
              <w:rPr>
                <w:rFonts w:ascii="Times New Roman" w:hAnsi="Times New Roman" w:cs="Times New Roman"/>
                <w:noProof/>
                <w:webHidden/>
                <w:sz w:val="28"/>
              </w:rPr>
            </w:r>
            <w:r w:rsidR="00321C42" w:rsidRPr="00167008">
              <w:rPr>
                <w:rFonts w:ascii="Times New Roman" w:hAnsi="Times New Roman" w:cs="Times New Roman"/>
                <w:noProof/>
                <w:webHidden/>
                <w:sz w:val="28"/>
              </w:rPr>
              <w:fldChar w:fldCharType="separate"/>
            </w:r>
            <w:r w:rsidR="00321C42" w:rsidRPr="00167008">
              <w:rPr>
                <w:rFonts w:ascii="Times New Roman" w:hAnsi="Times New Roman" w:cs="Times New Roman"/>
                <w:noProof/>
                <w:webHidden/>
                <w:sz w:val="28"/>
              </w:rPr>
              <w:t>13</w:t>
            </w:r>
            <w:r w:rsidR="00321C42" w:rsidRPr="00167008">
              <w:rPr>
                <w:rFonts w:ascii="Times New Roman" w:hAnsi="Times New Roman" w:cs="Times New Roman"/>
                <w:noProof/>
                <w:webHidden/>
                <w:sz w:val="28"/>
              </w:rPr>
              <w:fldChar w:fldCharType="end"/>
            </w:r>
          </w:hyperlink>
        </w:p>
        <w:p w:rsidR="00321C42" w:rsidRPr="00321C42" w:rsidRDefault="00321C42" w:rsidP="00321C42">
          <w:r w:rsidRPr="00167008">
            <w:rPr>
              <w:rFonts w:ascii="Times New Roman" w:hAnsi="Times New Roman" w:cs="Times New Roman"/>
              <w:bCs/>
              <w:sz w:val="28"/>
            </w:rPr>
            <w:fldChar w:fldCharType="end"/>
          </w:r>
        </w:p>
      </w:sdtContent>
    </w:sdt>
    <w:p w:rsidR="00321C42" w:rsidRDefault="00321C42" w:rsidP="003D22FD">
      <w:pPr>
        <w:pStyle w:val="1"/>
        <w:jc w:val="center"/>
        <w:rPr>
          <w:rFonts w:ascii="Times New Roman" w:hAnsi="Times New Roman" w:cs="Times New Roman"/>
          <w:b/>
          <w:color w:val="auto"/>
          <w:sz w:val="28"/>
        </w:rPr>
      </w:pPr>
      <w:bookmarkStart w:id="1" w:name="_Toc153469328"/>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21C42" w:rsidRDefault="00321C42" w:rsidP="003D22FD">
      <w:pPr>
        <w:pStyle w:val="1"/>
        <w:jc w:val="center"/>
        <w:rPr>
          <w:rFonts w:ascii="Times New Roman" w:hAnsi="Times New Roman" w:cs="Times New Roman"/>
          <w:b/>
          <w:color w:val="auto"/>
          <w:sz w:val="28"/>
        </w:rPr>
      </w:pPr>
    </w:p>
    <w:p w:rsidR="003D22FD" w:rsidRDefault="003D22FD" w:rsidP="003D22FD">
      <w:pPr>
        <w:pStyle w:val="1"/>
        <w:jc w:val="center"/>
        <w:rPr>
          <w:rFonts w:ascii="Times New Roman" w:hAnsi="Times New Roman" w:cs="Times New Roman"/>
          <w:b/>
          <w:color w:val="auto"/>
          <w:sz w:val="28"/>
        </w:rPr>
      </w:pPr>
      <w:r w:rsidRPr="00A16CFF">
        <w:rPr>
          <w:rFonts w:ascii="Times New Roman" w:hAnsi="Times New Roman" w:cs="Times New Roman"/>
          <w:b/>
          <w:color w:val="auto"/>
          <w:sz w:val="28"/>
        </w:rPr>
        <w:lastRenderedPageBreak/>
        <w:t>Введение</w:t>
      </w:r>
      <w:bookmarkEnd w:id="1"/>
    </w:p>
    <w:p w:rsidR="00A16CFF" w:rsidRPr="00A16CFF" w:rsidRDefault="00A16CFF" w:rsidP="00A16CFF"/>
    <w:p w:rsidR="00A16CFF" w:rsidRPr="00A16CFF" w:rsidRDefault="00A16CFF" w:rsidP="00A16CFF">
      <w:pPr>
        <w:spacing w:after="0" w:line="360" w:lineRule="auto"/>
        <w:ind w:firstLine="709"/>
        <w:jc w:val="both"/>
        <w:rPr>
          <w:rFonts w:ascii="Times New Roman" w:eastAsia="Times New Roman" w:hAnsi="Times New Roman" w:cs="Times New Roman"/>
          <w:sz w:val="28"/>
          <w:szCs w:val="28"/>
          <w:lang w:eastAsia="ru-RU"/>
        </w:rPr>
      </w:pPr>
      <w:r w:rsidRPr="00A16CFF">
        <w:rPr>
          <w:rFonts w:ascii="Times New Roman" w:eastAsia="Times New Roman" w:hAnsi="Times New Roman" w:cs="Times New Roman"/>
          <w:sz w:val="28"/>
          <w:szCs w:val="28"/>
          <w:lang w:eastAsia="ru-RU"/>
        </w:rPr>
        <w:t xml:space="preserve">Серьезное изучение проблем, связанных с риском, началось во времена Ренессанса, когда появилась теория вероятностей, однако наука о риске окончательно сформировалась только в последней четверти ХХ века. Последнее десятилетие показало, что наука о риске становится одной из ведущих в </w:t>
      </w:r>
      <w:r w:rsidRPr="00A16CFF">
        <w:rPr>
          <w:rFonts w:ascii="Times New Roman" w:eastAsia="Times New Roman" w:hAnsi="Times New Roman" w:cs="Times New Roman"/>
          <w:sz w:val="28"/>
          <w:szCs w:val="28"/>
          <w:lang w:val="en-US" w:eastAsia="ru-RU"/>
        </w:rPr>
        <w:t>XXI</w:t>
      </w:r>
      <w:r w:rsidRPr="00A16CFF">
        <w:rPr>
          <w:rFonts w:ascii="Times New Roman" w:eastAsia="Times New Roman" w:hAnsi="Times New Roman" w:cs="Times New Roman"/>
          <w:sz w:val="28"/>
          <w:szCs w:val="28"/>
          <w:lang w:eastAsia="ru-RU"/>
        </w:rPr>
        <w:t xml:space="preserve"> веке. Причина этого – в устойчивом росте многообразия и масштабов проявления риска и связанных с этим проблем. С одной стороны, в связи с антропогенным воздействием на природную среду опасные природные явления стали менее предсказуемы; увеличение запасенной в объектах техносферы энергии увеличило разрушительную силу опасных техногенных явлений и т.д. С другой стороны, рост качества жизни сопровождается повышением чувствительности населения к негативным воздействиям, вызванным опасными явлениями природного, техногенного, социального и экономического характера.</w:t>
      </w:r>
    </w:p>
    <w:p w:rsidR="00A16CFF" w:rsidRPr="00A16CFF" w:rsidRDefault="00A16CFF" w:rsidP="00A16CFF">
      <w:pPr>
        <w:spacing w:after="0" w:line="360" w:lineRule="auto"/>
        <w:ind w:firstLine="709"/>
        <w:jc w:val="both"/>
        <w:rPr>
          <w:rFonts w:ascii="Times New Roman" w:eastAsia="Times New Roman" w:hAnsi="Times New Roman" w:cs="Times New Roman"/>
          <w:sz w:val="28"/>
          <w:szCs w:val="28"/>
          <w:lang w:eastAsia="ru-RU"/>
        </w:rPr>
      </w:pPr>
      <w:r w:rsidRPr="00A16CFF">
        <w:rPr>
          <w:rFonts w:ascii="Times New Roman" w:eastAsia="Times New Roman" w:hAnsi="Times New Roman" w:cs="Times New Roman"/>
          <w:sz w:val="28"/>
          <w:szCs w:val="28"/>
          <w:lang w:eastAsia="ru-RU"/>
        </w:rPr>
        <w:t>В последние годы в России приоритеты в природоохранной политике, основанные на учете ПДК и других норм и нормативных воздействий на природу, пересматриваются. Причина: невысокая эффективность нормативного подхода из-за возможности субъективного подхода к «норме» и манипулирования этим понятием . В связи с этим в основу государственной экологической политики в условиях прогрессирующего загрязнения постепенно закладывается концепция экологического риска.</w:t>
      </w:r>
    </w:p>
    <w:p w:rsidR="00A16CFF" w:rsidRPr="00A16CFF" w:rsidRDefault="00A16CFF" w:rsidP="00A16CFF">
      <w:pPr>
        <w:spacing w:after="0" w:line="360" w:lineRule="auto"/>
        <w:ind w:firstLine="709"/>
        <w:jc w:val="both"/>
        <w:rPr>
          <w:rFonts w:ascii="Times New Roman" w:eastAsia="Times New Roman" w:hAnsi="Times New Roman" w:cs="Times New Roman"/>
          <w:sz w:val="28"/>
          <w:szCs w:val="28"/>
          <w:lang w:eastAsia="ru-RU"/>
        </w:rPr>
      </w:pPr>
      <w:r w:rsidRPr="00A16CFF">
        <w:rPr>
          <w:rFonts w:ascii="Times New Roman" w:eastAsia="Times New Roman" w:hAnsi="Times New Roman" w:cs="Times New Roman"/>
          <w:sz w:val="28"/>
          <w:szCs w:val="28"/>
          <w:lang w:eastAsia="ru-RU"/>
        </w:rPr>
        <w:t xml:space="preserve">Риски связанны со свойством неоднозначности происходящих в мире процессов. Риск существует везде, где есть неопределенность будущего. Риск – неизбежная реальность для всех, он есть, был и будет везде. Поэтому им нужно заниматься, оценивать его и управлять им. </w:t>
      </w:r>
    </w:p>
    <w:p w:rsidR="00A16CFF" w:rsidRPr="00A16CFF" w:rsidRDefault="00A16CFF" w:rsidP="00A16CFF"/>
    <w:p w:rsidR="003D22FD" w:rsidRPr="003D22FD" w:rsidRDefault="003D22FD" w:rsidP="003D22FD"/>
    <w:p w:rsidR="003D22FD" w:rsidRPr="003D22FD" w:rsidRDefault="003D22FD" w:rsidP="003D22FD"/>
    <w:p w:rsidR="003D22FD" w:rsidRDefault="003D22FD" w:rsidP="003D22FD">
      <w:pPr>
        <w:jc w:val="center"/>
      </w:pPr>
    </w:p>
    <w:p w:rsidR="003D22FD" w:rsidRDefault="003D22FD" w:rsidP="003D22FD">
      <w:pPr>
        <w:pStyle w:val="1"/>
        <w:jc w:val="center"/>
        <w:rPr>
          <w:rFonts w:ascii="Times New Roman" w:hAnsi="Times New Roman" w:cs="Times New Roman"/>
          <w:b/>
          <w:color w:val="auto"/>
          <w:sz w:val="28"/>
          <w:szCs w:val="28"/>
        </w:rPr>
      </w:pPr>
      <w:bookmarkStart w:id="2" w:name="_Toc153469329"/>
      <w:r w:rsidRPr="003D22FD">
        <w:rPr>
          <w:rFonts w:ascii="Times New Roman" w:hAnsi="Times New Roman" w:cs="Times New Roman"/>
          <w:b/>
          <w:color w:val="auto"/>
          <w:sz w:val="28"/>
          <w:szCs w:val="28"/>
        </w:rPr>
        <w:lastRenderedPageBreak/>
        <w:t>1.Оценка экологического риска. Проблемы развития  экологического страхования.</w:t>
      </w:r>
      <w:bookmarkEnd w:id="2"/>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rStyle w:val="a8"/>
          <w:rFonts w:eastAsiaTheme="majorEastAsia"/>
          <w:b w:val="0"/>
          <w:sz w:val="28"/>
          <w:szCs w:val="28"/>
        </w:rPr>
        <w:t>Оценка экологического риска</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sz w:val="28"/>
          <w:szCs w:val="28"/>
        </w:rPr>
        <w:t>При оценке экологического риска учитываются химические и физические воздействия на окружающую среду. С учетом большого разнообразия воздействий необходим подход оценки влияния на ОС, рассматривающий их особенности. Однако система оценки риска общая, включающая как, собственно, оценку риска и управление риском.</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rStyle w:val="a8"/>
          <w:rFonts w:eastAsiaTheme="majorEastAsia"/>
          <w:b w:val="0"/>
          <w:sz w:val="28"/>
          <w:szCs w:val="28"/>
        </w:rPr>
        <w:t>Оценка риска </w:t>
      </w:r>
      <w:r w:rsidRPr="00A16CFF">
        <w:rPr>
          <w:sz w:val="28"/>
          <w:szCs w:val="28"/>
        </w:rPr>
        <w:t>– это расчет и анализ вероятности его появления, включая определение степени опасности для ОС. К экологическим последствиям можно отнести: разрушение или преобразование экологических систем, ухудшение качества ОС, негативное воздействие на здоровье людей и т.д.</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rStyle w:val="a8"/>
          <w:rFonts w:eastAsiaTheme="majorEastAsia"/>
          <w:b w:val="0"/>
          <w:sz w:val="28"/>
          <w:szCs w:val="28"/>
        </w:rPr>
        <w:t>Управление риском </w:t>
      </w:r>
      <w:r w:rsidRPr="00A16CFF">
        <w:rPr>
          <w:sz w:val="28"/>
          <w:szCs w:val="28"/>
        </w:rPr>
        <w:t>– это анализ рисков, принятие решений, которые предотвратят наступление рисковых событий или приведут к уменьшению риска.</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sz w:val="28"/>
          <w:szCs w:val="28"/>
        </w:rPr>
        <w:t>Процесс управления рисками включает следующие этапы:</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sz w:val="28"/>
          <w:szCs w:val="28"/>
        </w:rPr>
        <w:t>1. Идентификация рисков – определение рисков, способных повлиять на ОС, и документирование их характеристик.</w:t>
      </w:r>
    </w:p>
    <w:p w:rsidR="003D22FD" w:rsidRPr="00A16CFF" w:rsidRDefault="003D22FD" w:rsidP="00B749BA">
      <w:pPr>
        <w:pStyle w:val="a7"/>
        <w:shd w:val="clear" w:color="auto" w:fill="FFFFFF"/>
        <w:spacing w:before="0" w:beforeAutospacing="0" w:after="0" w:afterAutospacing="0" w:line="360" w:lineRule="auto"/>
        <w:ind w:left="-567" w:right="225"/>
        <w:jc w:val="both"/>
        <w:rPr>
          <w:sz w:val="28"/>
          <w:szCs w:val="28"/>
        </w:rPr>
      </w:pPr>
      <w:r w:rsidRPr="00A16CFF">
        <w:rPr>
          <w:sz w:val="28"/>
          <w:szCs w:val="28"/>
        </w:rPr>
        <w:t>Должен быть реализован комплексный подход рассмотрения рисков, учитывающий их взаимное влияние. Например, при несанкционированных выбросах разных веществ на двух объектах за счет химического взаимодействия могут образовываться токсичные продукты реакции.</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На этапе идентификации риска производится: определение источника риска, определение эффекта воздействия риска на ОС, определение зоны поражения объектов ОС.</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При определении источника риска определяется возможность существования данной угрозы без количественных характеристик. Учитываются также внешние факторы, например опасные объекты, находящиеся недалеко.</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При определении эффекта воздействия риска на ОС выясняется, что является объектом воздействия и в какой степени возможно это воздействие.</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lastRenderedPageBreak/>
        <w:t>При определении зоны поражения объектов ОС производится рассмотрение сценариев дальнейшего развития событий и оценка того, какие последствия будет иметь данное событие для других объектов ОС.</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Результатом процесса идентификации рисков является реестр рисков, содержащий:</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список идентифицированных рисков;</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список потенциальных действий по реагированию;</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основные причины возникновения риска;</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уточнение категорий рисков.</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На данном этапе при оценке риска используется качественный анализ.</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2. Количественный анализ вероятности возникновения и влияния последствий рисков на ОС, включающий в себя оценку зависимости «доза-ответ» и оценку воздействия (экспозиции) на ОС.</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Оценка зависимости «доза-эффект» – это определение закономерностей, связывающих получаемую дозу вредного воздействия на ОС с вероятностью развития неблагоприятной экологической ситуации для объектов ОС.</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Данная оценка чаще всего используется при определении воздействия факторов ОС на здоровье населения и основана на выявлении, прогнозировании и характеристике вредных эффектов у человека.</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Критерии оценки зависимости " доза-ответ" и характеристики риска зависят от типа действия вредных веществ. В международной методологии оценки риска принято разделять канцерогенные (беспороговые) и неканцерогенные (пороговые) эффекты. Многие химические канцерогены способны вызывать не только канцерогенные, но и общетоксические эффекты. В связи с этим оценка риска воздействия подобных веществ должна осуществляться с учетом как их канцерогенного, так и неканцерогенного действия.</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При оценке риска развития неканцерогенных эффектов обычно исходят из предположения о наличии порога вредного действия, ниже которого вредные эффекты не развиваются. В методологии оценки риска широко используются следующие понятия:</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lastRenderedPageBreak/>
        <w:t>уровень не обнаружения вредных эффектов (NOAEL) - наивысшая доза или концентрация, при которой современными методами исследований не удается выявить вредных для здоровья эффектов (в отечественной литературе аналогом этого термина является термин максимальная недействующая доза или концентрация);</w:t>
      </w:r>
      <w:r w:rsidR="00A16CFF">
        <w:rPr>
          <w:rFonts w:ascii="Times New Roman" w:eastAsia="Times New Roman" w:hAnsi="Times New Roman" w:cs="Times New Roman"/>
          <w:sz w:val="28"/>
          <w:szCs w:val="28"/>
          <w:lang w:eastAsia="ru-RU"/>
        </w:rPr>
        <w:t xml:space="preserve"> </w:t>
      </w:r>
      <w:r w:rsidRPr="00932071">
        <w:rPr>
          <w:rFonts w:ascii="Times New Roman" w:eastAsia="Times New Roman" w:hAnsi="Times New Roman" w:cs="Times New Roman"/>
          <w:sz w:val="28"/>
          <w:szCs w:val="28"/>
          <w:lang w:eastAsia="ru-RU"/>
        </w:rPr>
        <w:t>наименьший уровень экспозиции, при которой наблюдается вредный эффект (LOAEL или пороговая доза/концентрация).</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В последние годы при обосновании безопасных уровней воздействия используется расчет так называемой реперной дозы или концентрации (BMD, ВМС). Данный подход основан на анализе зависимости частоты исследуемого вредного эффекта от уровня воздействия химического вещества. В качестве реперного эффекта (ВМЕ) обычно выбирается величина 1-10%, характеризующая возрастание вероятности развития вредного эффекта на 1-10% по сравнению с фоном или параллельным контролем.</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Существует система референтных уровней воздействия, использующихся для оценки риска кратковременных, пиковых воздействий химических веществ.</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Референтные уровни острых воздействий на населения установлены для атмосферного воздуха и питьевой воды. Особый подход используется при оценке риска кратковременных вредных воздействий, связанных с химическим загрязнением пищевых продуктов. Для химических веществ, загрязняющих атмосферный воздух населенных мест, референтные уровни дифференцированы в зависимости от продолжительности воздействия (от 5 минут до 24 часов) и степени тяжести возможных изменений состояния здоровья людей.</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Для условий городской среды наиболее распространенным периодом усреднения острых экспозиций является 1 час, что связано с практически значимыми суточными и часовыми изменениями промышленных выбросов в атмосферу, а также особенностями методологии анализа риска. Воздействие на уровне референтной концентрации допустимо не чаще одного раза в 2 недели.</w:t>
      </w:r>
    </w:p>
    <w:p w:rsidR="00932071"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 xml:space="preserve">3. Планирование реагирования на риски - определение методов по ослаблению или устранению отрицательных последствий рисковых событий. На этом же </w:t>
      </w:r>
      <w:r w:rsidRPr="00932071">
        <w:rPr>
          <w:rFonts w:ascii="Times New Roman" w:eastAsia="Times New Roman" w:hAnsi="Times New Roman" w:cs="Times New Roman"/>
          <w:sz w:val="28"/>
          <w:szCs w:val="28"/>
          <w:lang w:eastAsia="ru-RU"/>
        </w:rPr>
        <w:lastRenderedPageBreak/>
        <w:t>этапе возможно определение остающихся рисков и проведение оценки эффективности действий по минимизации рисков.</w:t>
      </w:r>
    </w:p>
    <w:p w:rsidR="00B749BA" w:rsidRPr="00932071" w:rsidRDefault="00932071" w:rsidP="00B749BA">
      <w:pPr>
        <w:spacing w:after="0" w:line="360" w:lineRule="auto"/>
        <w:ind w:left="-567" w:right="225"/>
        <w:jc w:val="both"/>
        <w:rPr>
          <w:rFonts w:ascii="Times New Roman" w:eastAsia="Times New Roman" w:hAnsi="Times New Roman" w:cs="Times New Roman"/>
          <w:sz w:val="28"/>
          <w:szCs w:val="28"/>
          <w:lang w:eastAsia="ru-RU"/>
        </w:rPr>
      </w:pPr>
      <w:r w:rsidRPr="00932071">
        <w:rPr>
          <w:rFonts w:ascii="Times New Roman" w:eastAsia="Times New Roman" w:hAnsi="Times New Roman" w:cs="Times New Roman"/>
          <w:sz w:val="28"/>
          <w:szCs w:val="28"/>
          <w:lang w:eastAsia="ru-RU"/>
        </w:rPr>
        <w:t>В настоящее время существуют сложности по разработке методик оценки экологического риска. Это связано с большим количеством факторов, влияющих на окружающую среду и их взаимодействием между собой.</w:t>
      </w:r>
    </w:p>
    <w:p w:rsidR="003D22FD" w:rsidRPr="00B749BA" w:rsidRDefault="00932071" w:rsidP="00A16CFF">
      <w:pPr>
        <w:spacing w:after="0" w:line="360" w:lineRule="auto"/>
        <w:ind w:left="-567"/>
        <w:jc w:val="both"/>
        <w:rPr>
          <w:rFonts w:ascii="Times New Roman" w:hAnsi="Times New Roman" w:cs="Times New Roman"/>
          <w:sz w:val="28"/>
          <w:szCs w:val="28"/>
        </w:rPr>
      </w:pPr>
      <w:r w:rsidRPr="00B749BA">
        <w:rPr>
          <w:rFonts w:ascii="Times New Roman" w:hAnsi="Times New Roman" w:cs="Times New Roman"/>
          <w:sz w:val="28"/>
          <w:szCs w:val="28"/>
        </w:rPr>
        <w:t>Риск загрязнения окружающей среды предприятием, осуществляющим хозяйственную деятельность, или экологический риск, является на сегодняшний день проблемой не только данного предприятия, но и всего государства в целом, а возможно, и международной проблемой.</w:t>
      </w:r>
    </w:p>
    <w:p w:rsidR="00932071" w:rsidRPr="00B749BA" w:rsidRDefault="00932071" w:rsidP="00A16CFF">
      <w:pPr>
        <w:spacing w:after="0" w:line="360" w:lineRule="auto"/>
        <w:ind w:left="-567"/>
        <w:jc w:val="both"/>
        <w:rPr>
          <w:rFonts w:ascii="Times New Roman" w:hAnsi="Times New Roman" w:cs="Times New Roman"/>
          <w:sz w:val="28"/>
          <w:szCs w:val="28"/>
        </w:rPr>
      </w:pPr>
      <w:r w:rsidRPr="00B749BA">
        <w:rPr>
          <w:rFonts w:ascii="Times New Roman" w:hAnsi="Times New Roman" w:cs="Times New Roman"/>
          <w:sz w:val="28"/>
          <w:szCs w:val="28"/>
        </w:rPr>
        <w:t>При страховании экологических рисков необходимо понимать, что они имеют существенное отличие от всех других страховых событий, приводящих к убытку. Вопервых, что мы понимаем под словом «загрязнение»? В узком смысле загрязнение — это повышенный выброс вредных веществ, который не может более поглощаться окружающей средой, в силу ограниченности ее ассимиляционных возможностей, и становится опасным для здоровья. Это связано с ростом городов, ростом населения планеты, развитием атомной энергетики, использованием химии с агропромышленности. В широком смысле слова понятие «загрязнение» можно толковать как любой выброс термических, коррозийных, токсических, ионизирующих и прочих вредных веществ, загрязняющих окружающую среду, не зависимо от того, являются ли они ценным промежуточным, конечным или же побочным продуктом или отходами. Кроме того, соединения изначально неопасных для здоровья веществ становятся токсичными. Здесь не учитывается характер загрязнений: случайное или преднамеренное — урон природе нанесен. Но для страховщиков чрезвычайно важен характер выброса вредных веществ, так как они рассматривают в качестве страхового случая лишь непреднамеренные загрязнения.</w:t>
      </w:r>
    </w:p>
    <w:p w:rsidR="00B749BA" w:rsidRPr="00B749BA" w:rsidRDefault="00932071" w:rsidP="000833CB">
      <w:pPr>
        <w:spacing w:line="360" w:lineRule="auto"/>
        <w:ind w:left="-567"/>
        <w:jc w:val="both"/>
        <w:rPr>
          <w:rFonts w:ascii="Times New Roman" w:hAnsi="Times New Roman" w:cs="Times New Roman"/>
          <w:sz w:val="28"/>
          <w:szCs w:val="28"/>
        </w:rPr>
      </w:pPr>
      <w:r w:rsidRPr="00B749BA">
        <w:rPr>
          <w:rFonts w:ascii="Times New Roman" w:hAnsi="Times New Roman" w:cs="Times New Roman"/>
          <w:sz w:val="28"/>
          <w:szCs w:val="28"/>
        </w:rPr>
        <w:t xml:space="preserve">Трудности выявления характера загрязнений зависят от длительности и момента наступления данного события. Многие факты загрязнения природы являются результатом как постоянных и регулярных выбросов, так и продолжающихся длительное время выбросов. Заболевания людей, вызванные длительным </w:t>
      </w:r>
      <w:r w:rsidRPr="00B749BA">
        <w:rPr>
          <w:rFonts w:ascii="Times New Roman" w:hAnsi="Times New Roman" w:cs="Times New Roman"/>
          <w:sz w:val="28"/>
          <w:szCs w:val="28"/>
        </w:rPr>
        <w:lastRenderedPageBreak/>
        <w:t>воздействием опасных веществ, могут появиться не сразу, а в течение нескольких лет. Хуже того, генетические отклонения могут проявиться у родившихся впоследствии детей. Экологическое страхование в России могло бы решить многие озвученные выше проблемы. В настоящий момент огромному количеству предприятий удается скрывать аварии, уходить от штрафов и компенсаций ущерба. Действительно, исходя из всего вышесказанного, на фоне все увеличивающихся рисков и масштабов экологических загрязнений в ходе деятельности нефтегазовых компаний и отсутствия в России эффективных способов защиты окружающей среды экологическое страхование кажется одним из наиболее действенных экономических инструментов, способных повлиять на компании нефтегазовой отрасли в области экологической ответственности8. Но для развития рынка экологического страхования в России, помимо разработки и принятия соответствующего законодательства9, необходимо создать единую базу по количеству и масштабам утечек при разработке, транспортировке и хранении нефти и нефтепродуктов, которая на данный момент отсутствует10. Поэтому авторами статьи была разработана методика, позволяющая оценивать масштабы загрязнения окружающей ср</w:t>
      </w:r>
      <w:r w:rsidR="00B749BA" w:rsidRPr="00B749BA">
        <w:rPr>
          <w:rFonts w:ascii="Times New Roman" w:hAnsi="Times New Roman" w:cs="Times New Roman"/>
          <w:sz w:val="28"/>
          <w:szCs w:val="28"/>
        </w:rPr>
        <w:t>еды при транспортировке нефти.</w:t>
      </w:r>
    </w:p>
    <w:p w:rsidR="00B749BA" w:rsidRDefault="00B749BA" w:rsidP="00B749BA">
      <w:pPr>
        <w:pStyle w:val="1"/>
        <w:jc w:val="center"/>
        <w:rPr>
          <w:rFonts w:ascii="Times New Roman" w:hAnsi="Times New Roman" w:cs="Times New Roman"/>
          <w:b/>
          <w:color w:val="auto"/>
        </w:rPr>
      </w:pPr>
      <w:bookmarkStart w:id="3" w:name="_Toc153469330"/>
      <w:r w:rsidRPr="00B749BA">
        <w:rPr>
          <w:rFonts w:ascii="Times New Roman" w:hAnsi="Times New Roman" w:cs="Times New Roman"/>
          <w:b/>
          <w:color w:val="auto"/>
        </w:rPr>
        <w:t>11.Страховая оценка и тарифные ставки в экологическом страховании.</w:t>
      </w:r>
      <w:bookmarkEnd w:id="3"/>
    </w:p>
    <w:p w:rsidR="000833CB" w:rsidRPr="000833CB" w:rsidRDefault="000833CB" w:rsidP="000833CB"/>
    <w:p w:rsidR="000833CB" w:rsidRDefault="00B749BA" w:rsidP="000833CB">
      <w:pPr>
        <w:pStyle w:val="ConsPlusNormal"/>
        <w:spacing w:line="360" w:lineRule="auto"/>
        <w:ind w:firstLine="540"/>
        <w:jc w:val="both"/>
        <w:rPr>
          <w:rFonts w:ascii="Times New Roman" w:hAnsi="Times New Roman" w:cs="Times New Roman"/>
          <w:sz w:val="28"/>
        </w:rPr>
      </w:pPr>
      <w:r w:rsidRPr="000833CB">
        <w:rPr>
          <w:rFonts w:ascii="Times New Roman" w:hAnsi="Times New Roman" w:cs="Times New Roman"/>
          <w:sz w:val="28"/>
        </w:rPr>
        <w:t>Страховая оценка, определяемая для экологического страхования, - это размер годового оборота предприятия. Под годовым оборотом понимается выручка от реализации продукции и оказания услуг, а также проведения каких-либо побочных операций (без налога на добавленную стоимость).</w:t>
      </w:r>
    </w:p>
    <w:p w:rsidR="000833CB" w:rsidRDefault="00B749BA" w:rsidP="000833CB">
      <w:pPr>
        <w:pStyle w:val="ConsPlusNormal"/>
        <w:spacing w:line="360" w:lineRule="auto"/>
        <w:ind w:firstLine="540"/>
        <w:jc w:val="both"/>
        <w:rPr>
          <w:rFonts w:ascii="Times New Roman" w:hAnsi="Times New Roman" w:cs="Times New Roman"/>
          <w:sz w:val="28"/>
        </w:rPr>
      </w:pPr>
      <w:r w:rsidRPr="000833CB">
        <w:rPr>
          <w:rFonts w:ascii="Times New Roman" w:hAnsi="Times New Roman" w:cs="Times New Roman"/>
          <w:sz w:val="28"/>
        </w:rPr>
        <w:t>Страховые платежи (премии) исчисляются путем умножения годового оборота предприятия в стоимостном выражении на тарифную ставку. Страховые платежи первоначально взимаются исходя из ожидаемого (планируемого) годового оборота, а по окончании года делается перерасчет с учетом фактических результатов деятельности страхователя.</w:t>
      </w:r>
    </w:p>
    <w:p w:rsidR="00B749BA" w:rsidRPr="000833CB" w:rsidRDefault="00B749BA" w:rsidP="000833CB">
      <w:pPr>
        <w:pStyle w:val="ConsPlusNormal"/>
        <w:spacing w:line="360" w:lineRule="auto"/>
        <w:ind w:firstLine="540"/>
        <w:jc w:val="both"/>
        <w:rPr>
          <w:rFonts w:ascii="Times New Roman" w:hAnsi="Times New Roman" w:cs="Times New Roman"/>
          <w:sz w:val="28"/>
        </w:rPr>
      </w:pPr>
      <w:r w:rsidRPr="000833CB">
        <w:rPr>
          <w:rFonts w:ascii="Times New Roman" w:hAnsi="Times New Roman" w:cs="Times New Roman"/>
          <w:sz w:val="28"/>
        </w:rPr>
        <w:t xml:space="preserve">Тарифные ставки дифференцируются в зависимости от отрасли </w:t>
      </w:r>
      <w:r w:rsidRPr="000833CB">
        <w:rPr>
          <w:rFonts w:ascii="Times New Roman" w:hAnsi="Times New Roman" w:cs="Times New Roman"/>
          <w:sz w:val="28"/>
        </w:rPr>
        <w:lastRenderedPageBreak/>
        <w:t>производства, в которой работает предприятие, пожелавшее заключить договор экологического страхования (по убывающей шкале):</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энергетический комплекс;</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нефтехимический комплекс;</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промышленность строительных материалов;</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химическая промышленность;</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бумажная промышленность;</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прочие отрасли.</w:t>
      </w:r>
    </w:p>
    <w:p w:rsidR="00B749BA" w:rsidRPr="000833CB" w:rsidRDefault="00B749BA" w:rsidP="00B749BA">
      <w:pPr>
        <w:pStyle w:val="ConsPlusNormal"/>
        <w:spacing w:before="200" w:line="360" w:lineRule="auto"/>
        <w:ind w:firstLine="540"/>
        <w:jc w:val="both"/>
        <w:rPr>
          <w:rFonts w:ascii="Times New Roman" w:hAnsi="Times New Roman" w:cs="Times New Roman"/>
          <w:sz w:val="28"/>
        </w:rPr>
      </w:pPr>
      <w:r w:rsidRPr="000833CB">
        <w:rPr>
          <w:rFonts w:ascii="Times New Roman" w:hAnsi="Times New Roman" w:cs="Times New Roman"/>
          <w:sz w:val="28"/>
        </w:rPr>
        <w:t>Ставки также дифференцируются внутри одной отрасли в зависимости от степени риска производственного процесса и проведения превентивных мероприятий на каждом отдельно взятом предприятии.</w:t>
      </w:r>
    </w:p>
    <w:p w:rsidR="00B749BA" w:rsidRDefault="00B749BA" w:rsidP="00B749BA">
      <w:pPr>
        <w:rPr>
          <w:rFonts w:ascii="Times New Roman" w:hAnsi="Times New Roman" w:cs="Times New Roman"/>
          <w:sz w:val="28"/>
          <w:szCs w:val="28"/>
        </w:rPr>
      </w:pPr>
    </w:p>
    <w:p w:rsidR="00B749BA" w:rsidRDefault="00B749BA" w:rsidP="000833CB">
      <w:pPr>
        <w:pStyle w:val="1"/>
        <w:jc w:val="center"/>
        <w:rPr>
          <w:rFonts w:ascii="Times New Roman" w:hAnsi="Times New Roman" w:cs="Times New Roman"/>
          <w:b/>
          <w:color w:val="auto"/>
        </w:rPr>
      </w:pPr>
      <w:bookmarkStart w:id="4" w:name="_Toc153469331"/>
      <w:r w:rsidRPr="00B749BA">
        <w:rPr>
          <w:rFonts w:ascii="Times New Roman" w:hAnsi="Times New Roman" w:cs="Times New Roman"/>
          <w:b/>
          <w:color w:val="auto"/>
        </w:rPr>
        <w:t>23. Назовите условия, в соответствии с постановлением Правительства Российской Федерации от 30 декабря 2011 г. № 1205, препятствующие привлечению к проведению экспертизы лица в качестве независимого эксперта, аттестованного Минсельхозом России:</w:t>
      </w:r>
      <w:bookmarkEnd w:id="4"/>
    </w:p>
    <w:p w:rsidR="000833CB" w:rsidRPr="000833CB" w:rsidRDefault="000833CB" w:rsidP="000833CB"/>
    <w:p w:rsidR="000833CB" w:rsidRDefault="00B749BA" w:rsidP="000833CB">
      <w:pPr>
        <w:spacing w:line="360" w:lineRule="auto"/>
        <w:jc w:val="both"/>
        <w:rPr>
          <w:rFonts w:ascii="Times New Roman" w:hAnsi="Times New Roman" w:cs="Times New Roman"/>
          <w:sz w:val="28"/>
        </w:rPr>
      </w:pPr>
      <w:r w:rsidRPr="000833CB">
        <w:rPr>
          <w:rFonts w:ascii="Times New Roman" w:hAnsi="Times New Roman" w:cs="Times New Roman"/>
          <w:sz w:val="28"/>
        </w:rPr>
        <w:t xml:space="preserve">1. В Правилах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 утвержденных указанным постановлением: а) в пункте 1 слова "и (или) посадок многолетних насаждений" заменить словами ", посадок многолетних насаждений и (или) сельскохозяйственных животных"; б) в пункте 2: абзац второй изложить в следующей редакции: "экспертиза" - квалифицированное исследование представленных страховщиком и страхователем документов и материалов, а также обследование (при возможности проведения) объектов страхования, в отношении которых был заключен соответствующий договор </w:t>
      </w:r>
      <w:r w:rsidRPr="000833CB">
        <w:rPr>
          <w:rFonts w:ascii="Times New Roman" w:hAnsi="Times New Roman" w:cs="Times New Roman"/>
          <w:sz w:val="28"/>
        </w:rPr>
        <w:lastRenderedPageBreak/>
        <w:t>сельскохозяйственного страхования, проводимые независимыми экспертами в целях предоставления мотивированного экспертного заключения, подтверждающего факт наступления страхового случая, и определения размера причиненного страхователю ущерба по договору сельскохозяйственного страхования;"; дополнить абзацами следующего содержания: "объект страхования" - урожай сельскохозяйственных культур, посадки многолетних насаждений и (или) сельскохозяйственные животные; "обследование объектов страхования" - квалифицированная оценка состояния посевов (посадок) сельскохозяйственных культур, посадок 2 многолетних насаждений и (или) сельскохозяйственных животных по месту их нахождения."; в) в пункте 3 слова "частью 1 статьи 8" заменить словами "статьей 8"; г) в подпункте "в" пункта 9 слова "и (или) посадок многолетних насаждений" заменить словами ", посадок многолетних насаждений и (или) сельскохозяйственных животных"; д) пункт 10</w:t>
      </w:r>
      <w:r w:rsidR="000833CB">
        <w:rPr>
          <w:rFonts w:ascii="Times New Roman" w:hAnsi="Times New Roman" w:cs="Times New Roman"/>
          <w:sz w:val="28"/>
        </w:rPr>
        <w:t xml:space="preserve"> изложить в следующей редакции:</w:t>
      </w:r>
      <w:r w:rsidRPr="000833CB">
        <w:rPr>
          <w:rFonts w:ascii="Times New Roman" w:hAnsi="Times New Roman" w:cs="Times New Roman"/>
          <w:sz w:val="28"/>
        </w:rPr>
        <w:t xml:space="preserve">"10. Экспертиза проводится независимыми экспертами на основании обследования объектов страхования, а также на основании исследования представленных страховщиком и (или) страхователем документов и материалов, перечень которых определяется Министерством сельского хозяйства Российской Федерации."; е) дополнить пунктом 101 следующего содержания: "101 . Обследование объектов страхования проводится независимым экспертом при наличии их на месте нахождения (месте произрастания, выращивания, содержания, переработки), определенном в договоре сельскохозяйственного страхования. О месте и времени проведения обследования объектов страхования независимый эксперт уведомляет страховщика и страхователя за 3 рабочих дня до дня проведения обследования объектов страхования."; ж) подпункт "в" пункта 11 изложить в следующей редакции: "в) фамилия, имя, отчество независимого эксперта;"; з) дополнить пунктом 15 следующего содержания: "15. При проведении экспертизы в рамках судопроизводства положения настоящих Правил не применяются.". 2. Требования к независимым экспертам, </w:t>
      </w:r>
      <w:r w:rsidRPr="000833CB">
        <w:rPr>
          <w:rFonts w:ascii="Times New Roman" w:hAnsi="Times New Roman" w:cs="Times New Roman"/>
          <w:sz w:val="28"/>
        </w:rPr>
        <w:lastRenderedPageBreak/>
        <w:t>привлекаемым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 утвержденные указанным постановлением</w:t>
      </w:r>
      <w:r w:rsidR="000833CB" w:rsidRPr="000833CB">
        <w:rPr>
          <w:rFonts w:ascii="Times New Roman" w:hAnsi="Times New Roman" w:cs="Times New Roman"/>
          <w:sz w:val="28"/>
        </w:rPr>
        <w:t>.</w:t>
      </w: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Pr="000833CB" w:rsidRDefault="000833CB" w:rsidP="000833CB">
      <w:pPr>
        <w:rPr>
          <w:rFonts w:ascii="Times New Roman" w:hAnsi="Times New Roman" w:cs="Times New Roman"/>
          <w:sz w:val="28"/>
        </w:rPr>
      </w:pPr>
    </w:p>
    <w:p w:rsidR="000833CB" w:rsidRDefault="000833CB" w:rsidP="000833CB">
      <w:pPr>
        <w:rPr>
          <w:rFonts w:ascii="Times New Roman" w:hAnsi="Times New Roman" w:cs="Times New Roman"/>
          <w:sz w:val="28"/>
        </w:rPr>
      </w:pPr>
    </w:p>
    <w:p w:rsidR="000833CB" w:rsidRDefault="000833CB" w:rsidP="000833CB">
      <w:pPr>
        <w:tabs>
          <w:tab w:val="left" w:pos="3732"/>
        </w:tabs>
        <w:rPr>
          <w:rFonts w:ascii="Times New Roman" w:hAnsi="Times New Roman" w:cs="Times New Roman"/>
          <w:sz w:val="28"/>
        </w:rPr>
      </w:pPr>
      <w:r>
        <w:rPr>
          <w:rFonts w:ascii="Times New Roman" w:hAnsi="Times New Roman" w:cs="Times New Roman"/>
          <w:sz w:val="28"/>
        </w:rPr>
        <w:tab/>
      </w:r>
    </w:p>
    <w:p w:rsidR="000833CB" w:rsidRDefault="000833CB" w:rsidP="000833CB">
      <w:pPr>
        <w:pStyle w:val="1"/>
        <w:jc w:val="center"/>
        <w:rPr>
          <w:rFonts w:ascii="Times New Roman" w:hAnsi="Times New Roman" w:cs="Times New Roman"/>
          <w:b/>
          <w:color w:val="auto"/>
          <w:sz w:val="28"/>
        </w:rPr>
      </w:pPr>
      <w:bookmarkStart w:id="5" w:name="_Toc153469332"/>
      <w:r w:rsidRPr="000833CB">
        <w:rPr>
          <w:rFonts w:ascii="Times New Roman" w:hAnsi="Times New Roman" w:cs="Times New Roman"/>
          <w:b/>
          <w:color w:val="auto"/>
          <w:sz w:val="28"/>
        </w:rPr>
        <w:lastRenderedPageBreak/>
        <w:t>Заключение</w:t>
      </w:r>
      <w:bookmarkEnd w:id="5"/>
    </w:p>
    <w:p w:rsidR="000833CB" w:rsidRPr="000833CB" w:rsidRDefault="000833CB" w:rsidP="000833CB"/>
    <w:p w:rsidR="00A16CFF" w:rsidRDefault="000833CB" w:rsidP="000833CB">
      <w:pPr>
        <w:spacing w:after="0" w:line="360" w:lineRule="auto"/>
        <w:jc w:val="both"/>
        <w:rPr>
          <w:rFonts w:ascii="Times New Roman" w:hAnsi="Times New Roman" w:cs="Times New Roman"/>
          <w:sz w:val="28"/>
        </w:rPr>
      </w:pPr>
      <w:r w:rsidRPr="000833CB">
        <w:rPr>
          <w:rFonts w:ascii="Times New Roman" w:hAnsi="Times New Roman" w:cs="Times New Roman"/>
          <w:sz w:val="28"/>
        </w:rPr>
        <w:t>Таким образом, экологическое страхование представляет собой перспективное и эффективное средство создания благоприятных экономических условий для вовлечения в процесс обеспечения экологической безопасности капиталов коммерческих структур, повышения надёжности работы промышленных предприятий и создания дополнительных рабочих мест. Оно является надёжным инструментом экономико-правового механизма охраны окружающей природной среды, требующим дальнейшего развития.</w:t>
      </w:r>
      <w:r w:rsidR="00A16CFF" w:rsidRPr="00A16CFF">
        <w:rPr>
          <w:rFonts w:ascii="Arial" w:hAnsi="Arial" w:cs="Arial"/>
          <w:color w:val="333333"/>
          <w:sz w:val="21"/>
          <w:szCs w:val="21"/>
          <w:shd w:val="clear" w:color="auto" w:fill="FFFFFF"/>
        </w:rPr>
        <w:t xml:space="preserve"> </w:t>
      </w:r>
      <w:r w:rsidR="00A16CFF" w:rsidRPr="00A16CFF">
        <w:rPr>
          <w:rFonts w:ascii="Times New Roman" w:hAnsi="Times New Roman" w:cs="Times New Roman"/>
          <w:sz w:val="28"/>
        </w:rPr>
        <w:t>Всегда необходимо время для того, чтобы разработать новый или адаптировать продукт к условиям меняющегося рынка. Это также применимо для страхования экологической ответственности, как и для любого другого вида страхования. И поэтому необходимо быть увереным, что как только будет создана достаточная нормативно-правовая база для этого вида страхования, на рынке появится страховые продукты, отвечающие условиям страхования экологических рисков. Однако решение этой задачи во многом будет зависеть от активной позиции общества, воли и желания органов законодательной и исполнительной власти учитывать при разработке и осуществлении стратегии экономических преобразований, экологического страхования.</w:t>
      </w: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Pr="00A16CFF" w:rsidRDefault="00A16CFF" w:rsidP="00A16CFF">
      <w:pPr>
        <w:rPr>
          <w:rFonts w:ascii="Times New Roman" w:hAnsi="Times New Roman" w:cs="Times New Roman"/>
          <w:sz w:val="28"/>
        </w:rPr>
      </w:pPr>
    </w:p>
    <w:p w:rsidR="00A16CFF" w:rsidRDefault="00A16CFF" w:rsidP="00A16CFF">
      <w:pPr>
        <w:rPr>
          <w:rFonts w:ascii="Times New Roman" w:hAnsi="Times New Roman" w:cs="Times New Roman"/>
          <w:sz w:val="28"/>
        </w:rPr>
      </w:pPr>
    </w:p>
    <w:p w:rsidR="000833CB" w:rsidRDefault="000833CB" w:rsidP="00A16CFF">
      <w:pPr>
        <w:jc w:val="center"/>
        <w:rPr>
          <w:rFonts w:ascii="Times New Roman" w:hAnsi="Times New Roman" w:cs="Times New Roman"/>
          <w:sz w:val="28"/>
        </w:rPr>
      </w:pPr>
    </w:p>
    <w:p w:rsidR="00A16CFF" w:rsidRDefault="00A16CFF" w:rsidP="00A16CFF">
      <w:pPr>
        <w:jc w:val="center"/>
        <w:rPr>
          <w:rFonts w:ascii="Times New Roman" w:hAnsi="Times New Roman" w:cs="Times New Roman"/>
          <w:sz w:val="28"/>
        </w:rPr>
      </w:pPr>
    </w:p>
    <w:p w:rsidR="00A16CFF" w:rsidRPr="00A16CFF" w:rsidRDefault="00A16CFF" w:rsidP="00A16CFF">
      <w:pPr>
        <w:pStyle w:val="1"/>
        <w:jc w:val="center"/>
        <w:rPr>
          <w:rFonts w:ascii="Times New Roman" w:hAnsi="Times New Roman" w:cs="Times New Roman"/>
          <w:b/>
          <w:color w:val="auto"/>
          <w:sz w:val="28"/>
        </w:rPr>
      </w:pPr>
      <w:bookmarkStart w:id="6" w:name="_Toc153469333"/>
      <w:r w:rsidRPr="00A16CFF">
        <w:rPr>
          <w:rFonts w:ascii="Times New Roman" w:hAnsi="Times New Roman" w:cs="Times New Roman"/>
          <w:b/>
          <w:color w:val="auto"/>
          <w:sz w:val="28"/>
        </w:rPr>
        <w:lastRenderedPageBreak/>
        <w:t>Список использованных источников</w:t>
      </w:r>
      <w:bookmarkEnd w:id="6"/>
    </w:p>
    <w:p w:rsidR="00A16CFF" w:rsidRPr="00A16CFF" w:rsidRDefault="00A16CFF" w:rsidP="00A16CFF"/>
    <w:p w:rsidR="00A16CFF" w:rsidRPr="00A16CFF" w:rsidRDefault="00A16CFF" w:rsidP="00A16CFF">
      <w:pPr>
        <w:spacing w:after="0" w:line="360" w:lineRule="auto"/>
        <w:jc w:val="both"/>
        <w:rPr>
          <w:rFonts w:ascii="Times New Roman" w:hAnsi="Times New Roman" w:cs="Times New Roman"/>
          <w:sz w:val="28"/>
        </w:rPr>
      </w:pPr>
      <w:r w:rsidRPr="00A16CFF">
        <w:rPr>
          <w:rFonts w:ascii="Times New Roman" w:hAnsi="Times New Roman" w:cs="Times New Roman"/>
          <w:sz w:val="28"/>
        </w:rPr>
        <w:t>1 Конституция Российской Федерации М. : Пресс, 2010, 210 с.</w:t>
      </w:r>
    </w:p>
    <w:p w:rsidR="00A16CFF" w:rsidRPr="00A16CFF" w:rsidRDefault="00A16CFF" w:rsidP="00A16CFF">
      <w:pPr>
        <w:spacing w:after="0" w:line="360" w:lineRule="auto"/>
        <w:jc w:val="both"/>
        <w:rPr>
          <w:rFonts w:ascii="Times New Roman" w:hAnsi="Times New Roman" w:cs="Times New Roman"/>
          <w:sz w:val="28"/>
        </w:rPr>
      </w:pPr>
      <w:r w:rsidRPr="00A16CFF">
        <w:rPr>
          <w:rFonts w:ascii="Times New Roman" w:hAnsi="Times New Roman" w:cs="Times New Roman"/>
          <w:sz w:val="28"/>
        </w:rPr>
        <w:t>2 Гражданский кодекс Российской Федерации М. : Пресс, 2010, 150 с.</w:t>
      </w:r>
    </w:p>
    <w:p w:rsidR="00A16CFF" w:rsidRPr="00A16CFF" w:rsidRDefault="00A16CFF" w:rsidP="00A16CFF">
      <w:pPr>
        <w:spacing w:after="0" w:line="360" w:lineRule="auto"/>
        <w:jc w:val="both"/>
        <w:rPr>
          <w:rFonts w:ascii="Times New Roman" w:hAnsi="Times New Roman" w:cs="Times New Roman"/>
          <w:sz w:val="28"/>
        </w:rPr>
      </w:pPr>
      <w:r w:rsidRPr="00A16CFF">
        <w:rPr>
          <w:rFonts w:ascii="Times New Roman" w:hAnsi="Times New Roman" w:cs="Times New Roman"/>
          <w:sz w:val="28"/>
        </w:rPr>
        <w:t>3 Федеральный закон от 10.01.2002г. № 7-ФЗ (ред. от 14.03.2009г.) «Об охране окружающей среды», URL : http://base.garant.ru/12125350/ (Дата обращения: 28.12.12).</w:t>
      </w:r>
    </w:p>
    <w:p w:rsidR="00A16CFF" w:rsidRPr="00A16CFF" w:rsidRDefault="00A16CFF" w:rsidP="00A16CFF">
      <w:pPr>
        <w:spacing w:after="0" w:line="360" w:lineRule="auto"/>
        <w:jc w:val="both"/>
        <w:rPr>
          <w:rFonts w:ascii="Times New Roman" w:hAnsi="Times New Roman" w:cs="Times New Roman"/>
          <w:sz w:val="28"/>
        </w:rPr>
      </w:pPr>
      <w:r w:rsidRPr="00A16CFF">
        <w:rPr>
          <w:rFonts w:ascii="Times New Roman" w:hAnsi="Times New Roman" w:cs="Times New Roman"/>
          <w:sz w:val="28"/>
        </w:rPr>
        <w:t>4 Соколовский И.К. «Экономика природопользования» Учебное пособие - М.: Инфра-М, 2009, 390 с.</w:t>
      </w:r>
    </w:p>
    <w:p w:rsidR="00A16CFF" w:rsidRPr="00A16CFF" w:rsidRDefault="00A16CFF" w:rsidP="00A16CFF">
      <w:pPr>
        <w:spacing w:after="0" w:line="360" w:lineRule="auto"/>
        <w:jc w:val="both"/>
        <w:rPr>
          <w:rFonts w:ascii="Times New Roman" w:hAnsi="Times New Roman" w:cs="Times New Roman"/>
          <w:sz w:val="28"/>
        </w:rPr>
      </w:pPr>
      <w:r w:rsidRPr="00A16CFF">
        <w:rPr>
          <w:rFonts w:ascii="Times New Roman" w:hAnsi="Times New Roman" w:cs="Times New Roman"/>
          <w:sz w:val="28"/>
        </w:rPr>
        <w:t>5 Федорова Т. А. Страхование: учебник. - М.: Экономистъ, 2009, 290 с.</w:t>
      </w:r>
    </w:p>
    <w:p w:rsidR="00A16CFF" w:rsidRPr="00A16CFF" w:rsidRDefault="00A16CFF" w:rsidP="00A16CFF"/>
    <w:sectPr w:rsidR="00A16CFF" w:rsidRPr="00A16C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93C" w:rsidRDefault="00A9093C" w:rsidP="003D22FD">
      <w:pPr>
        <w:spacing w:after="0" w:line="240" w:lineRule="auto"/>
      </w:pPr>
      <w:r>
        <w:separator/>
      </w:r>
    </w:p>
  </w:endnote>
  <w:endnote w:type="continuationSeparator" w:id="0">
    <w:p w:rsidR="00A9093C" w:rsidRDefault="00A9093C" w:rsidP="003D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93C" w:rsidRDefault="00A9093C" w:rsidP="003D22FD">
      <w:pPr>
        <w:spacing w:after="0" w:line="240" w:lineRule="auto"/>
      </w:pPr>
      <w:r>
        <w:separator/>
      </w:r>
    </w:p>
  </w:footnote>
  <w:footnote w:type="continuationSeparator" w:id="0">
    <w:p w:rsidR="00A9093C" w:rsidRDefault="00A9093C" w:rsidP="003D2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92"/>
    <w:rsid w:val="000833CB"/>
    <w:rsid w:val="000A56CF"/>
    <w:rsid w:val="00132575"/>
    <w:rsid w:val="00167008"/>
    <w:rsid w:val="00173E92"/>
    <w:rsid w:val="00185B75"/>
    <w:rsid w:val="001D2582"/>
    <w:rsid w:val="00321C42"/>
    <w:rsid w:val="003D22FD"/>
    <w:rsid w:val="00710993"/>
    <w:rsid w:val="00932071"/>
    <w:rsid w:val="00A16CFF"/>
    <w:rsid w:val="00A9093C"/>
    <w:rsid w:val="00B7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E2030-2D8E-476E-A299-25B95062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2FD"/>
  </w:style>
  <w:style w:type="paragraph" w:styleId="1">
    <w:name w:val="heading 1"/>
    <w:basedOn w:val="a"/>
    <w:next w:val="a"/>
    <w:link w:val="10"/>
    <w:uiPriority w:val="9"/>
    <w:qFormat/>
    <w:rsid w:val="003D22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3D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D22FD"/>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3D22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2FD"/>
  </w:style>
  <w:style w:type="paragraph" w:styleId="a5">
    <w:name w:val="footer"/>
    <w:basedOn w:val="a"/>
    <w:link w:val="a6"/>
    <w:uiPriority w:val="99"/>
    <w:unhideWhenUsed/>
    <w:rsid w:val="003D22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2FD"/>
  </w:style>
  <w:style w:type="paragraph" w:styleId="a7">
    <w:name w:val="Normal (Web)"/>
    <w:basedOn w:val="a"/>
    <w:uiPriority w:val="99"/>
    <w:semiHidden/>
    <w:unhideWhenUsed/>
    <w:rsid w:val="003D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D22FD"/>
    <w:rPr>
      <w:b/>
      <w:bCs/>
    </w:rPr>
  </w:style>
  <w:style w:type="paragraph" w:customStyle="1" w:styleId="ConsPlusNormal">
    <w:name w:val="ConsPlusNormal"/>
    <w:rsid w:val="00B749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uiPriority w:val="34"/>
    <w:qFormat/>
    <w:rsid w:val="000833CB"/>
    <w:pPr>
      <w:ind w:left="720"/>
      <w:contextualSpacing/>
    </w:pPr>
  </w:style>
  <w:style w:type="paragraph" w:styleId="aa">
    <w:name w:val="TOC Heading"/>
    <w:basedOn w:val="1"/>
    <w:next w:val="a"/>
    <w:uiPriority w:val="39"/>
    <w:unhideWhenUsed/>
    <w:qFormat/>
    <w:rsid w:val="00321C42"/>
    <w:pPr>
      <w:outlineLvl w:val="9"/>
    </w:pPr>
    <w:rPr>
      <w:lang w:eastAsia="ru-RU"/>
    </w:rPr>
  </w:style>
  <w:style w:type="paragraph" w:styleId="12">
    <w:name w:val="toc 1"/>
    <w:basedOn w:val="a"/>
    <w:next w:val="a"/>
    <w:autoRedefine/>
    <w:uiPriority w:val="39"/>
    <w:unhideWhenUsed/>
    <w:rsid w:val="00321C42"/>
    <w:pPr>
      <w:spacing w:after="100"/>
    </w:pPr>
  </w:style>
  <w:style w:type="character" w:styleId="ab">
    <w:name w:val="Hyperlink"/>
    <w:basedOn w:val="a0"/>
    <w:uiPriority w:val="99"/>
    <w:unhideWhenUsed/>
    <w:rsid w:val="00321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6607">
      <w:bodyDiv w:val="1"/>
      <w:marLeft w:val="0"/>
      <w:marRight w:val="0"/>
      <w:marTop w:val="0"/>
      <w:marBottom w:val="0"/>
      <w:divBdr>
        <w:top w:val="none" w:sz="0" w:space="0" w:color="auto"/>
        <w:left w:val="none" w:sz="0" w:space="0" w:color="auto"/>
        <w:bottom w:val="none" w:sz="0" w:space="0" w:color="auto"/>
        <w:right w:val="none" w:sz="0" w:space="0" w:color="auto"/>
      </w:divBdr>
    </w:div>
    <w:div w:id="415521544">
      <w:bodyDiv w:val="1"/>
      <w:marLeft w:val="0"/>
      <w:marRight w:val="0"/>
      <w:marTop w:val="0"/>
      <w:marBottom w:val="0"/>
      <w:divBdr>
        <w:top w:val="none" w:sz="0" w:space="0" w:color="auto"/>
        <w:left w:val="none" w:sz="0" w:space="0" w:color="auto"/>
        <w:bottom w:val="none" w:sz="0" w:space="0" w:color="auto"/>
        <w:right w:val="none" w:sz="0" w:space="0" w:color="auto"/>
      </w:divBdr>
    </w:div>
    <w:div w:id="1004287627">
      <w:bodyDiv w:val="1"/>
      <w:marLeft w:val="0"/>
      <w:marRight w:val="0"/>
      <w:marTop w:val="0"/>
      <w:marBottom w:val="0"/>
      <w:divBdr>
        <w:top w:val="none" w:sz="0" w:space="0" w:color="auto"/>
        <w:left w:val="none" w:sz="0" w:space="0" w:color="auto"/>
        <w:bottom w:val="none" w:sz="0" w:space="0" w:color="auto"/>
        <w:right w:val="none" w:sz="0" w:space="0" w:color="auto"/>
      </w:divBdr>
    </w:div>
    <w:div w:id="1097477692">
      <w:bodyDiv w:val="1"/>
      <w:marLeft w:val="0"/>
      <w:marRight w:val="0"/>
      <w:marTop w:val="0"/>
      <w:marBottom w:val="0"/>
      <w:divBdr>
        <w:top w:val="none" w:sz="0" w:space="0" w:color="auto"/>
        <w:left w:val="none" w:sz="0" w:space="0" w:color="auto"/>
        <w:bottom w:val="none" w:sz="0" w:space="0" w:color="auto"/>
        <w:right w:val="none" w:sz="0" w:space="0" w:color="auto"/>
      </w:divBdr>
    </w:div>
    <w:div w:id="1589849095">
      <w:bodyDiv w:val="1"/>
      <w:marLeft w:val="0"/>
      <w:marRight w:val="0"/>
      <w:marTop w:val="0"/>
      <w:marBottom w:val="0"/>
      <w:divBdr>
        <w:top w:val="none" w:sz="0" w:space="0" w:color="auto"/>
        <w:left w:val="none" w:sz="0" w:space="0" w:color="auto"/>
        <w:bottom w:val="none" w:sz="0" w:space="0" w:color="auto"/>
        <w:right w:val="none" w:sz="0" w:space="0" w:color="auto"/>
      </w:divBdr>
      <w:divsChild>
        <w:div w:id="398479922">
          <w:marLeft w:val="0"/>
          <w:marRight w:val="0"/>
          <w:marTop w:val="0"/>
          <w:marBottom w:val="0"/>
          <w:divBdr>
            <w:top w:val="none" w:sz="0" w:space="0" w:color="auto"/>
            <w:left w:val="none" w:sz="0" w:space="0" w:color="auto"/>
            <w:bottom w:val="none" w:sz="0" w:space="0" w:color="auto"/>
            <w:right w:val="none" w:sz="0" w:space="0" w:color="auto"/>
          </w:divBdr>
          <w:divsChild>
            <w:div w:id="2066639520">
              <w:marLeft w:val="0"/>
              <w:marRight w:val="0"/>
              <w:marTop w:val="0"/>
              <w:marBottom w:val="0"/>
              <w:divBdr>
                <w:top w:val="none" w:sz="0" w:space="0" w:color="auto"/>
                <w:left w:val="none" w:sz="0" w:space="0" w:color="auto"/>
                <w:bottom w:val="none" w:sz="0" w:space="0" w:color="auto"/>
                <w:right w:val="none" w:sz="0" w:space="0" w:color="auto"/>
              </w:divBdr>
              <w:divsChild>
                <w:div w:id="1249850188">
                  <w:marLeft w:val="0"/>
                  <w:marRight w:val="0"/>
                  <w:marTop w:val="0"/>
                  <w:marBottom w:val="0"/>
                  <w:divBdr>
                    <w:top w:val="none" w:sz="0" w:space="0" w:color="auto"/>
                    <w:left w:val="none" w:sz="0" w:space="0" w:color="auto"/>
                    <w:bottom w:val="none" w:sz="0" w:space="0" w:color="auto"/>
                    <w:right w:val="none" w:sz="0" w:space="0" w:color="auto"/>
                  </w:divBdr>
                  <w:divsChild>
                    <w:div w:id="1303580662">
                      <w:marLeft w:val="0"/>
                      <w:marRight w:val="0"/>
                      <w:marTop w:val="100"/>
                      <w:marBottom w:val="100"/>
                      <w:divBdr>
                        <w:top w:val="none" w:sz="0" w:space="0" w:color="auto"/>
                        <w:left w:val="none" w:sz="0" w:space="0" w:color="auto"/>
                        <w:bottom w:val="none" w:sz="0" w:space="0" w:color="auto"/>
                        <w:right w:val="none" w:sz="0" w:space="0" w:color="auto"/>
                      </w:divBdr>
                      <w:divsChild>
                        <w:div w:id="1375814926">
                          <w:marLeft w:val="0"/>
                          <w:marRight w:val="0"/>
                          <w:marTop w:val="0"/>
                          <w:marBottom w:val="0"/>
                          <w:divBdr>
                            <w:top w:val="none" w:sz="0" w:space="0" w:color="auto"/>
                            <w:left w:val="none" w:sz="0" w:space="0" w:color="auto"/>
                            <w:bottom w:val="none" w:sz="0" w:space="0" w:color="auto"/>
                            <w:right w:val="none" w:sz="0" w:space="0" w:color="auto"/>
                          </w:divBdr>
                          <w:divsChild>
                            <w:div w:id="16942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B224-BB46-4C7B-B1B1-2F31F6E1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2023-12-14T13:24:00Z</dcterms:created>
  <dcterms:modified xsi:type="dcterms:W3CDTF">2023-12-20T11:37:00Z</dcterms:modified>
</cp:coreProperties>
</file>